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0980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嘉黎县</w:t>
      </w:r>
      <w:r>
        <w:rPr>
          <w:rFonts w:hint="eastAsia" w:ascii="方正小标宋简体" w:hAnsi="方正小标宋简体" w:eastAsia="方正小标宋简体" w:cs="方正小标宋简体"/>
          <w:sz w:val="44"/>
          <w:szCs w:val="44"/>
        </w:rPr>
        <w:t>尼屋乡</w:t>
      </w:r>
      <w:r>
        <w:rPr>
          <w:rFonts w:hint="default"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年法治政府建设</w:t>
      </w:r>
      <w:r>
        <w:rPr>
          <w:rFonts w:hint="eastAsia" w:ascii="方正小标宋简体" w:hAnsi="方正小标宋简体" w:eastAsia="方正小标宋简体" w:cs="方正小标宋简体"/>
          <w:sz w:val="44"/>
          <w:szCs w:val="44"/>
          <w:lang w:val="en-US" w:eastAsia="zh-CN"/>
        </w:rPr>
        <w:t>年度</w:t>
      </w:r>
      <w:r>
        <w:rPr>
          <w:rFonts w:hint="eastAsia" w:ascii="方正小标宋简体" w:hAnsi="方正小标宋简体" w:eastAsia="方正小标宋简体" w:cs="方正小标宋简体"/>
          <w:sz w:val="44"/>
          <w:szCs w:val="44"/>
        </w:rPr>
        <w:t>报告</w:t>
      </w:r>
    </w:p>
    <w:p w14:paraId="40D1E7C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03F144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2025</w:t>
      </w:r>
      <w:r>
        <w:rPr>
          <w:rFonts w:hint="eastAsia" w:ascii="方正仿宋简体" w:hAnsi="方正仿宋简体" w:eastAsia="方正仿宋简体" w:cs="方正仿宋简体"/>
          <w:sz w:val="32"/>
          <w:szCs w:val="40"/>
        </w:rPr>
        <w:t>年，尼屋乡在区委、区政府</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市委、市政府</w:t>
      </w:r>
      <w:r>
        <w:rPr>
          <w:rFonts w:hint="eastAsia" w:ascii="方正仿宋简体" w:hAnsi="方正仿宋简体" w:eastAsia="方正仿宋简体" w:cs="方正仿宋简体"/>
          <w:sz w:val="32"/>
          <w:szCs w:val="40"/>
          <w:lang w:val="en-US" w:eastAsia="zh-CN"/>
        </w:rPr>
        <w:t>和县委、县政府</w:t>
      </w:r>
      <w:r>
        <w:rPr>
          <w:rFonts w:hint="eastAsia" w:ascii="方正仿宋简体" w:hAnsi="方正仿宋简体" w:eastAsia="方正仿宋简体" w:cs="方正仿宋简体"/>
          <w:sz w:val="32"/>
          <w:szCs w:val="40"/>
        </w:rPr>
        <w:t>的坚强领导下，坚持以新时代中国特色社会主义思想为指导，深入学习贯彻党的二十大及二十届历次全会精神，全面贯彻落实自治区党委、市委关于法治建设的一系列重大决策部署，紧紧围绕全乡中心工作和发展大局，扎实推进法治政府建设各项工作，为促进我乡经济社会高质量发展、维护社会和谐稳定提供了坚实的法治保障。现将本年度法治政府建设情况报告如下：</w:t>
      </w:r>
    </w:p>
    <w:p w14:paraId="05CD50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一、</w:t>
      </w:r>
      <w:r>
        <w:rPr>
          <w:rFonts w:hint="default" w:ascii="Times New Roman" w:hAnsi="Times New Roman" w:eastAsia="方正黑体简体" w:cs="Times New Roman"/>
          <w:color w:val="auto"/>
          <w:sz w:val="32"/>
          <w:szCs w:val="32"/>
          <w:lang w:val="en-US" w:eastAsia="zh-CN"/>
        </w:rPr>
        <w:t>2025</w:t>
      </w:r>
      <w:r>
        <w:rPr>
          <w:rFonts w:hint="eastAsia" w:ascii="方正黑体简体" w:hAnsi="方正黑体简体" w:eastAsia="方正黑体简体" w:cs="方正黑体简体"/>
          <w:color w:val="auto"/>
          <w:sz w:val="32"/>
          <w:szCs w:val="32"/>
          <w:lang w:val="en-US" w:eastAsia="zh-CN"/>
        </w:rPr>
        <w:t>年度法治政府建设情况</w:t>
      </w:r>
    </w:p>
    <w:p w14:paraId="02EA39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eastAsia" w:ascii="方正楷体简体" w:hAnsi="方正楷体简体" w:eastAsia="方正楷体简体" w:cs="方正楷体简体"/>
          <w:sz w:val="32"/>
          <w:szCs w:val="32"/>
        </w:rPr>
        <w:t>（一）提高政治站位，坚决贯彻落实法治建设决策部署。</w:t>
      </w:r>
      <w:r>
        <w:rPr>
          <w:rFonts w:hint="eastAsia" w:ascii="方正仿宋简体" w:hAnsi="方正仿宋简体" w:eastAsia="方正仿宋简体" w:cs="方正仿宋简体"/>
          <w:sz w:val="32"/>
          <w:szCs w:val="40"/>
        </w:rPr>
        <w:t>乡党委、政府始终将法治政府建设摆在全局工作的重要位置，切实履行推进法治建设第一责任人职责。</w:t>
      </w:r>
    </w:p>
    <w:p w14:paraId="30B241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1</w:t>
      </w:r>
      <w:r>
        <w:rPr>
          <w:rFonts w:hint="eastAsia" w:ascii="方正仿宋简体" w:hAnsi="方正仿宋简体" w:eastAsia="方正仿宋简体" w:cs="方正仿宋简体"/>
          <w:sz w:val="32"/>
          <w:szCs w:val="40"/>
        </w:rPr>
        <w:t>.强化理论武装</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坚持将学习领会区、市</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县</w:t>
      </w:r>
      <w:r>
        <w:rPr>
          <w:rFonts w:hint="eastAsia" w:ascii="方正仿宋简体" w:hAnsi="方正仿宋简体" w:eastAsia="方正仿宋简体" w:cs="方正仿宋简体"/>
          <w:sz w:val="32"/>
          <w:szCs w:val="40"/>
        </w:rPr>
        <w:t>关于法治建设的文件精神和法律法规纳入党委理论学习中心组学习、干部教育培训的必修内容，全年组织专题学习研讨</w:t>
      </w:r>
      <w:r>
        <w:rPr>
          <w:rFonts w:hint="default" w:ascii="Times New Roman" w:hAnsi="Times New Roman" w:eastAsia="方正仿宋简体" w:cs="Times New Roman"/>
          <w:sz w:val="32"/>
          <w:szCs w:val="40"/>
          <w:lang w:val="en-US" w:eastAsia="zh-CN"/>
        </w:rPr>
        <w:t>3</w:t>
      </w:r>
      <w:r>
        <w:rPr>
          <w:rFonts w:hint="eastAsia" w:ascii="方正仿宋简体" w:hAnsi="方正仿宋简体" w:eastAsia="方正仿宋简体" w:cs="方正仿宋简体"/>
          <w:sz w:val="32"/>
          <w:szCs w:val="40"/>
        </w:rPr>
        <w:t>次，切实增强领导干部运用法治思维和法治方式深化改革、推动发展、化解矛盾、维护稳定的能力。</w:t>
      </w:r>
    </w:p>
    <w:p w14:paraId="57A40D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2</w:t>
      </w:r>
      <w:r>
        <w:rPr>
          <w:rFonts w:hint="eastAsia" w:ascii="方正仿宋简体" w:hAnsi="方正仿宋简体" w:eastAsia="方正仿宋简体" w:cs="方正仿宋简体"/>
          <w:sz w:val="32"/>
          <w:szCs w:val="40"/>
        </w:rPr>
        <w:t>.健全领导机制</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及时调整充实乡法治政府建设工作领导小组，定期召开专题会议，研究部署年度重点任务，确保上级决策部署在尼屋乡不折不扣落地生根。制定并印发了《尼屋乡</w:t>
      </w:r>
      <w:r>
        <w:rPr>
          <w:rFonts w:hint="default" w:ascii="Times New Roman" w:hAnsi="Times New Roman" w:eastAsia="方正仿宋简体" w:cs="Times New Roman"/>
          <w:sz w:val="32"/>
          <w:szCs w:val="40"/>
        </w:rPr>
        <w:t>2025</w:t>
      </w:r>
      <w:r>
        <w:rPr>
          <w:rFonts w:hint="eastAsia" w:ascii="方正仿宋简体" w:hAnsi="方正仿宋简体" w:eastAsia="方正仿宋简体" w:cs="方正仿宋简体"/>
          <w:sz w:val="32"/>
          <w:szCs w:val="40"/>
        </w:rPr>
        <w:t>年法治政府建设工作要点》，明确责任分工和完成时限。</w:t>
      </w:r>
    </w:p>
    <w:p w14:paraId="7A7E57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3</w:t>
      </w:r>
      <w:r>
        <w:rPr>
          <w:rFonts w:hint="eastAsia" w:ascii="方正仿宋简体" w:hAnsi="方正仿宋简体" w:eastAsia="方正仿宋简体" w:cs="方正仿宋简体"/>
          <w:sz w:val="32"/>
          <w:szCs w:val="40"/>
        </w:rPr>
        <w:t>.严格依法决策</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完善重大行政决策程序规定，对涉及经济社会发展全局</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与群众切身利益密切相关的重大事项，严格落实公众参与、专家论证、风险评估、合法性审查、集体讨论决定等法定程序。</w:t>
      </w:r>
      <w:r>
        <w:rPr>
          <w:rFonts w:hint="eastAsia" w:ascii="方正仿宋简体" w:hAnsi="方正仿宋简体" w:eastAsia="方正仿宋简体" w:cs="方正仿宋简体"/>
          <w:sz w:val="32"/>
          <w:szCs w:val="40"/>
          <w:lang w:val="en-US" w:eastAsia="zh-CN"/>
        </w:rPr>
        <w:t>对</w:t>
      </w:r>
      <w:r>
        <w:rPr>
          <w:rFonts w:hint="default" w:ascii="Times New Roman" w:hAnsi="Times New Roman" w:eastAsia="方正仿宋简体" w:cs="Times New Roman"/>
          <w:sz w:val="32"/>
          <w:szCs w:val="40"/>
          <w:lang w:val="en-US" w:eastAsia="zh-CN"/>
        </w:rPr>
        <w:t>14</w:t>
      </w:r>
      <w:r>
        <w:rPr>
          <w:rFonts w:hint="eastAsia" w:ascii="方正仿宋简体" w:hAnsi="方正仿宋简体" w:eastAsia="方正仿宋简体" w:cs="方正仿宋简体"/>
          <w:sz w:val="32"/>
          <w:szCs w:val="40"/>
          <w:lang w:val="en-US" w:eastAsia="zh-CN"/>
        </w:rPr>
        <w:t>个村居的村规民约进行审查，</w:t>
      </w:r>
      <w:r>
        <w:rPr>
          <w:rFonts w:hint="eastAsia" w:ascii="方正仿宋简体" w:hAnsi="方正仿宋简体" w:eastAsia="方正仿宋简体" w:cs="方正仿宋简体"/>
          <w:sz w:val="32"/>
          <w:szCs w:val="40"/>
        </w:rPr>
        <w:t>有效防范法律风险。</w:t>
      </w:r>
    </w:p>
    <w:p w14:paraId="6DD23D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eastAsia" w:ascii="方正楷体简体" w:hAnsi="方正楷体简体" w:eastAsia="方正楷体简体" w:cs="方正楷体简体"/>
          <w:sz w:val="32"/>
          <w:szCs w:val="32"/>
        </w:rPr>
        <w:t>（二）立足乡情实际，着力构建矛盾纠纷多元化解新格局。</w:t>
      </w:r>
      <w:r>
        <w:rPr>
          <w:rFonts w:hint="eastAsia" w:ascii="方正仿宋简体" w:hAnsi="方正仿宋简体" w:eastAsia="方正仿宋简体" w:cs="方正仿宋简体"/>
          <w:sz w:val="32"/>
          <w:szCs w:val="40"/>
        </w:rPr>
        <w:t>紧密结合我乡农牧区特点、民族结构和常见纠纷类型，积极探索符合实际的矛盾纠纷预防化解路径。</w:t>
      </w:r>
    </w:p>
    <w:p w14:paraId="0B70F9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1</w:t>
      </w:r>
      <w:r>
        <w:rPr>
          <w:rFonts w:hint="eastAsia" w:ascii="方正仿宋简体" w:hAnsi="方正仿宋简体" w:eastAsia="方正仿宋简体" w:cs="方正仿宋简体"/>
          <w:sz w:val="32"/>
          <w:szCs w:val="40"/>
        </w:rPr>
        <w:t>.建强调解网络</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巩固提升乡、村两级人民调解委员会建设，选优配强调解员队伍，吸纳“两代表一委员”、老党员、老干部、乡贤等参与调解。在全乡</w:t>
      </w:r>
      <w:r>
        <w:rPr>
          <w:rFonts w:hint="default" w:ascii="Times New Roman" w:hAnsi="Times New Roman" w:eastAsia="方正仿宋简体" w:cs="Times New Roman"/>
          <w:sz w:val="32"/>
          <w:szCs w:val="40"/>
          <w:lang w:val="en-US" w:eastAsia="zh-CN"/>
        </w:rPr>
        <w:t>14</w:t>
      </w:r>
      <w:r>
        <w:rPr>
          <w:rFonts w:hint="eastAsia" w:ascii="方正仿宋简体" w:hAnsi="方正仿宋简体" w:eastAsia="方正仿宋简体" w:cs="方正仿宋简体"/>
          <w:sz w:val="32"/>
          <w:szCs w:val="40"/>
        </w:rPr>
        <w:t>个行政村建立</w:t>
      </w:r>
      <w:r>
        <w:rPr>
          <w:rFonts w:hint="eastAsia" w:ascii="方正仿宋简体" w:hAnsi="方正仿宋简体" w:eastAsia="方正仿宋简体" w:cs="方正仿宋简体"/>
          <w:sz w:val="32"/>
          <w:szCs w:val="40"/>
          <w:lang w:val="en-US" w:eastAsia="zh-CN"/>
        </w:rPr>
        <w:t>人民调解委员会、“法律明白人”，</w:t>
      </w:r>
      <w:r>
        <w:rPr>
          <w:rFonts w:hint="eastAsia" w:ascii="方正仿宋简体" w:hAnsi="方正仿宋简体" w:eastAsia="方正仿宋简体" w:cs="方正仿宋简体"/>
          <w:sz w:val="32"/>
          <w:szCs w:val="40"/>
        </w:rPr>
        <w:t>培养“法律明白人”</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人民调解员</w:t>
      </w:r>
      <w:r>
        <w:rPr>
          <w:rFonts w:hint="eastAsia" w:ascii="方正仿宋简体" w:hAnsi="方正仿宋简体" w:eastAsia="方正仿宋简体" w:cs="方正仿宋简体"/>
          <w:sz w:val="32"/>
          <w:szCs w:val="40"/>
          <w:lang w:eastAsia="zh-CN"/>
        </w:rPr>
        <w:t>”</w:t>
      </w:r>
      <w:r>
        <w:rPr>
          <w:rFonts w:hint="default" w:ascii="Times New Roman" w:hAnsi="Times New Roman" w:eastAsia="方正仿宋简体" w:cs="Times New Roman"/>
          <w:sz w:val="32"/>
          <w:szCs w:val="40"/>
          <w:lang w:val="en-US" w:eastAsia="zh-CN"/>
        </w:rPr>
        <w:t>56</w:t>
      </w:r>
      <w:r>
        <w:rPr>
          <w:rFonts w:hint="eastAsia" w:ascii="方正仿宋简体" w:hAnsi="方正仿宋简体" w:eastAsia="方正仿宋简体" w:cs="方正仿宋简体"/>
          <w:sz w:val="32"/>
          <w:szCs w:val="40"/>
        </w:rPr>
        <w:t>名，实现调解力量全覆盖、服务零距离。</w:t>
      </w:r>
    </w:p>
    <w:p w14:paraId="55663E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2</w:t>
      </w:r>
      <w:r>
        <w:rPr>
          <w:rFonts w:hint="eastAsia" w:ascii="方正仿宋简体" w:hAnsi="方正仿宋简体" w:eastAsia="方正仿宋简体" w:cs="方正仿宋简体"/>
          <w:sz w:val="32"/>
          <w:szCs w:val="40"/>
        </w:rPr>
        <w:t>.</w:t>
      </w:r>
      <w:r>
        <w:rPr>
          <w:rFonts w:hint="eastAsia" w:ascii="方正仿宋简体" w:hAnsi="方正仿宋简体" w:eastAsia="方正仿宋简体" w:cs="方正仿宋简体"/>
          <w:sz w:val="32"/>
          <w:szCs w:val="40"/>
          <w:lang w:val="en-US" w:eastAsia="zh-CN"/>
        </w:rPr>
        <w:t>党政主要负责人强调运用法治思维和法治方式预防化解各类矛盾纠纷，</w:t>
      </w:r>
      <w:r>
        <w:rPr>
          <w:rFonts w:hint="eastAsia" w:ascii="方正仿宋简体" w:hAnsi="方正仿宋简体" w:eastAsia="方正仿宋简体" w:cs="方正仿宋简体"/>
          <w:sz w:val="32"/>
          <w:szCs w:val="40"/>
        </w:rPr>
        <w:t>深化“枫桥经验”本地化实践</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推行“干部下沉+上门调解”模式，针对</w:t>
      </w:r>
      <w:r>
        <w:rPr>
          <w:rFonts w:hint="eastAsia" w:ascii="方正仿宋简体" w:hAnsi="方正仿宋简体" w:eastAsia="方正仿宋简体" w:cs="方正仿宋简体"/>
          <w:sz w:val="32"/>
          <w:szCs w:val="40"/>
          <w:lang w:val="en-US" w:eastAsia="zh-CN"/>
        </w:rPr>
        <w:t>劳资纠纷</w:t>
      </w:r>
      <w:r>
        <w:rPr>
          <w:rFonts w:hint="eastAsia" w:ascii="方正仿宋简体" w:hAnsi="方正仿宋简体" w:eastAsia="方正仿宋简体" w:cs="方正仿宋简体"/>
          <w:sz w:val="32"/>
          <w:szCs w:val="40"/>
        </w:rPr>
        <w:t>、</w:t>
      </w:r>
      <w:r>
        <w:rPr>
          <w:rFonts w:hint="eastAsia" w:ascii="方正仿宋简体" w:hAnsi="方正仿宋简体" w:eastAsia="方正仿宋简体" w:cs="方正仿宋简体"/>
          <w:sz w:val="32"/>
          <w:szCs w:val="40"/>
          <w:lang w:val="en-US" w:eastAsia="zh-CN"/>
        </w:rPr>
        <w:t>合同纠纷、</w:t>
      </w:r>
      <w:r>
        <w:rPr>
          <w:rFonts w:hint="eastAsia" w:ascii="方正仿宋简体" w:hAnsi="方正仿宋简体" w:eastAsia="方正仿宋简体" w:cs="方正仿宋简体"/>
          <w:sz w:val="32"/>
          <w:szCs w:val="40"/>
        </w:rPr>
        <w:t>邻里关系、民间借贷等常见多发纠纷，组织司法所、派出所、综治中心及村级调解力量主动排查、提前介入、现场调处。</w:t>
      </w:r>
      <w:r>
        <w:rPr>
          <w:rFonts w:hint="default" w:ascii="Times New Roman" w:hAnsi="Times New Roman" w:eastAsia="方正仿宋简体" w:cs="Times New Roman"/>
          <w:sz w:val="32"/>
          <w:szCs w:val="40"/>
          <w:lang w:val="en-US" w:eastAsia="zh-CN"/>
        </w:rPr>
        <w:t>2025</w:t>
      </w:r>
      <w:r>
        <w:rPr>
          <w:rFonts w:hint="eastAsia" w:ascii="方正仿宋简体" w:hAnsi="方正仿宋简体" w:eastAsia="方正仿宋简体" w:cs="方正仿宋简体"/>
          <w:sz w:val="32"/>
          <w:szCs w:val="40"/>
          <w:lang w:val="en-US" w:eastAsia="zh-CN"/>
        </w:rPr>
        <w:t>全年排查各类矛盾纠纷</w:t>
      </w:r>
      <w:r>
        <w:rPr>
          <w:rFonts w:hint="default" w:ascii="Times New Roman" w:hAnsi="Times New Roman" w:eastAsia="方正仿宋简体" w:cs="Times New Roman"/>
          <w:sz w:val="32"/>
          <w:szCs w:val="40"/>
          <w:lang w:val="en-US" w:eastAsia="zh-CN"/>
        </w:rPr>
        <w:t>103</w:t>
      </w:r>
      <w:r>
        <w:rPr>
          <w:rFonts w:hint="eastAsia" w:ascii="方正仿宋简体" w:hAnsi="方正仿宋简体" w:eastAsia="方正仿宋简体" w:cs="方正仿宋简体"/>
          <w:sz w:val="32"/>
          <w:szCs w:val="40"/>
          <w:lang w:val="en-US" w:eastAsia="zh-CN"/>
        </w:rPr>
        <w:t>次，调处各类矛盾纠纷</w:t>
      </w:r>
      <w:r>
        <w:rPr>
          <w:rFonts w:hint="default" w:ascii="Times New Roman" w:hAnsi="Times New Roman" w:eastAsia="方正仿宋简体" w:cs="Times New Roman"/>
          <w:sz w:val="32"/>
          <w:szCs w:val="40"/>
          <w:lang w:val="en-US" w:eastAsia="zh-CN"/>
        </w:rPr>
        <w:t>25</w:t>
      </w:r>
      <w:r>
        <w:rPr>
          <w:rFonts w:hint="eastAsia" w:ascii="方正仿宋简体" w:hAnsi="方正仿宋简体" w:eastAsia="方正仿宋简体" w:cs="方正仿宋简体"/>
          <w:sz w:val="32"/>
          <w:szCs w:val="40"/>
          <w:lang w:val="en-US" w:eastAsia="zh-CN"/>
        </w:rPr>
        <w:t>起，劳资纠纷</w:t>
      </w:r>
      <w:r>
        <w:rPr>
          <w:rFonts w:hint="default" w:ascii="Times New Roman" w:hAnsi="Times New Roman" w:eastAsia="方正仿宋简体" w:cs="Times New Roman"/>
          <w:sz w:val="32"/>
          <w:szCs w:val="40"/>
          <w:lang w:val="en-US" w:eastAsia="zh-CN"/>
        </w:rPr>
        <w:t>11</w:t>
      </w:r>
      <w:r>
        <w:rPr>
          <w:rFonts w:hint="eastAsia" w:ascii="方正仿宋简体" w:hAnsi="方正仿宋简体" w:eastAsia="方正仿宋简体" w:cs="方正仿宋简体"/>
          <w:sz w:val="32"/>
          <w:szCs w:val="40"/>
          <w:lang w:val="en-US" w:eastAsia="zh-CN"/>
        </w:rPr>
        <w:t>件，合同纠纷</w:t>
      </w:r>
      <w:r>
        <w:rPr>
          <w:rFonts w:hint="default" w:ascii="Times New Roman" w:hAnsi="Times New Roman" w:eastAsia="方正仿宋简体" w:cs="Times New Roman"/>
          <w:sz w:val="32"/>
          <w:szCs w:val="40"/>
          <w:lang w:val="en-US" w:eastAsia="zh-CN"/>
        </w:rPr>
        <w:t>6</w:t>
      </w:r>
      <w:r>
        <w:rPr>
          <w:rFonts w:hint="eastAsia" w:ascii="方正仿宋简体" w:hAnsi="方正仿宋简体" w:eastAsia="方正仿宋简体" w:cs="方正仿宋简体"/>
          <w:sz w:val="32"/>
          <w:szCs w:val="40"/>
          <w:lang w:val="en-US" w:eastAsia="zh-CN"/>
        </w:rPr>
        <w:t>件，损害赔偿纠纷</w:t>
      </w:r>
      <w:r>
        <w:rPr>
          <w:rFonts w:hint="default" w:ascii="Times New Roman" w:hAnsi="Times New Roman" w:eastAsia="方正仿宋简体" w:cs="Times New Roman"/>
          <w:sz w:val="32"/>
          <w:szCs w:val="40"/>
          <w:lang w:val="en-US" w:eastAsia="zh-CN"/>
        </w:rPr>
        <w:t>2</w:t>
      </w:r>
      <w:r>
        <w:rPr>
          <w:rFonts w:hint="eastAsia" w:ascii="方正仿宋简体" w:hAnsi="方正仿宋简体" w:eastAsia="方正仿宋简体" w:cs="方正仿宋简体"/>
          <w:sz w:val="32"/>
          <w:szCs w:val="40"/>
          <w:lang w:val="en-US" w:eastAsia="zh-CN"/>
        </w:rPr>
        <w:t>件、机动车交通事故责任纠纷</w:t>
      </w:r>
      <w:r>
        <w:rPr>
          <w:rFonts w:hint="default" w:ascii="Times New Roman" w:hAnsi="Times New Roman" w:eastAsia="方正仿宋简体" w:cs="Times New Roman"/>
          <w:sz w:val="32"/>
          <w:szCs w:val="40"/>
          <w:lang w:val="en-US" w:eastAsia="zh-CN"/>
        </w:rPr>
        <w:t>2</w:t>
      </w:r>
      <w:r>
        <w:rPr>
          <w:rFonts w:hint="eastAsia" w:ascii="方正仿宋简体" w:hAnsi="方正仿宋简体" w:eastAsia="方正仿宋简体" w:cs="方正仿宋简体"/>
          <w:sz w:val="32"/>
          <w:szCs w:val="40"/>
          <w:lang w:val="en-US" w:eastAsia="zh-CN"/>
        </w:rPr>
        <w:t>件，侵权损害赔偿纠纷</w:t>
      </w:r>
      <w:r>
        <w:rPr>
          <w:rFonts w:hint="default" w:ascii="Times New Roman" w:hAnsi="Times New Roman" w:eastAsia="方正仿宋简体" w:cs="Times New Roman"/>
          <w:sz w:val="32"/>
          <w:szCs w:val="40"/>
          <w:lang w:val="en-US" w:eastAsia="zh-CN"/>
        </w:rPr>
        <w:t>2</w:t>
      </w:r>
      <w:r>
        <w:rPr>
          <w:rFonts w:hint="eastAsia" w:ascii="方正仿宋简体" w:hAnsi="方正仿宋简体" w:eastAsia="方正仿宋简体" w:cs="方正仿宋简体"/>
          <w:sz w:val="32"/>
          <w:szCs w:val="40"/>
          <w:lang w:val="en-US" w:eastAsia="zh-CN"/>
        </w:rPr>
        <w:t>起，人身损害赔偿纠纷</w:t>
      </w:r>
      <w:r>
        <w:rPr>
          <w:rFonts w:hint="default" w:ascii="Times New Roman" w:hAnsi="Times New Roman" w:eastAsia="方正仿宋简体" w:cs="Times New Roman"/>
          <w:sz w:val="32"/>
          <w:szCs w:val="40"/>
          <w:lang w:val="en-US" w:eastAsia="zh-CN"/>
        </w:rPr>
        <w:t>1</w:t>
      </w:r>
      <w:r>
        <w:rPr>
          <w:rFonts w:hint="eastAsia" w:ascii="方正仿宋简体" w:hAnsi="方正仿宋简体" w:eastAsia="方正仿宋简体" w:cs="方正仿宋简体"/>
          <w:sz w:val="32"/>
          <w:szCs w:val="40"/>
          <w:lang w:val="en-US" w:eastAsia="zh-CN"/>
        </w:rPr>
        <w:t>起，土地纠纷</w:t>
      </w:r>
      <w:r>
        <w:rPr>
          <w:rFonts w:hint="default" w:ascii="Times New Roman" w:hAnsi="Times New Roman" w:eastAsia="方正仿宋简体" w:cs="Times New Roman"/>
          <w:sz w:val="32"/>
          <w:szCs w:val="40"/>
          <w:lang w:val="en-US" w:eastAsia="zh-CN"/>
        </w:rPr>
        <w:t>1</w:t>
      </w:r>
      <w:r>
        <w:rPr>
          <w:rFonts w:hint="eastAsia" w:ascii="方正仿宋简体" w:hAnsi="方正仿宋简体" w:eastAsia="方正仿宋简体" w:cs="方正仿宋简体"/>
          <w:sz w:val="32"/>
          <w:szCs w:val="40"/>
          <w:lang w:val="en-US" w:eastAsia="zh-CN"/>
        </w:rPr>
        <w:t>起，办理司法确认案件</w:t>
      </w:r>
      <w:r>
        <w:rPr>
          <w:rFonts w:hint="default" w:ascii="Times New Roman" w:hAnsi="Times New Roman" w:eastAsia="方正仿宋简体" w:cs="Times New Roman"/>
          <w:sz w:val="32"/>
          <w:szCs w:val="40"/>
          <w:lang w:val="en-US" w:eastAsia="zh-CN"/>
        </w:rPr>
        <w:t>0</w:t>
      </w:r>
      <w:r>
        <w:rPr>
          <w:rFonts w:hint="eastAsia" w:ascii="方正仿宋简体" w:hAnsi="方正仿宋简体" w:eastAsia="方正仿宋简体" w:cs="方正仿宋简体"/>
          <w:sz w:val="32"/>
          <w:szCs w:val="40"/>
          <w:lang w:val="en-US" w:eastAsia="zh-CN"/>
        </w:rPr>
        <w:t>件，涉及金额达</w:t>
      </w:r>
      <w:r>
        <w:rPr>
          <w:rFonts w:hint="default" w:ascii="Times New Roman" w:hAnsi="Times New Roman" w:eastAsia="方正仿宋简体" w:cs="Times New Roman"/>
          <w:sz w:val="32"/>
          <w:szCs w:val="40"/>
          <w:lang w:val="en-US" w:eastAsia="zh-CN"/>
        </w:rPr>
        <w:t>1475171</w:t>
      </w:r>
      <w:r>
        <w:rPr>
          <w:rFonts w:hint="eastAsia" w:ascii="方正仿宋简体" w:hAnsi="方正仿宋简体" w:eastAsia="方正仿宋简体" w:cs="方正仿宋简体"/>
          <w:sz w:val="32"/>
          <w:szCs w:val="40"/>
          <w:lang w:val="en-US" w:eastAsia="zh-CN"/>
        </w:rPr>
        <w:t>元。截至目前未出现进京访、越级访、缠访闹访、极端信访行为，</w:t>
      </w:r>
      <w:r>
        <w:rPr>
          <w:rFonts w:hint="eastAsia" w:ascii="方正仿宋简体" w:hAnsi="方正仿宋简体" w:eastAsia="方正仿宋简体" w:cs="方正仿宋简体"/>
          <w:sz w:val="32"/>
          <w:szCs w:val="40"/>
        </w:rPr>
        <w:t>有效实现了“小事不出村、大事不出乡、矛盾不上交”。</w:t>
      </w:r>
    </w:p>
    <w:p w14:paraId="7975DD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3</w:t>
      </w:r>
      <w:r>
        <w:rPr>
          <w:rFonts w:hint="eastAsia" w:ascii="方正仿宋简体" w:hAnsi="方正仿宋简体" w:eastAsia="方正仿宋简体" w:cs="方正仿宋简体"/>
          <w:sz w:val="32"/>
          <w:szCs w:val="40"/>
        </w:rPr>
        <w:t>.畅通法律救济渠道</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规范乡公共法律服务站运行，为群众提供法律咨询、法律援助指引等服务。加强与基层人民法院</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民生办</w:t>
      </w:r>
      <w:r>
        <w:rPr>
          <w:rFonts w:hint="eastAsia" w:ascii="方正仿宋简体" w:hAnsi="方正仿宋简体" w:eastAsia="方正仿宋简体" w:cs="方正仿宋简体"/>
          <w:sz w:val="32"/>
          <w:szCs w:val="40"/>
        </w:rPr>
        <w:t>的协作，引导群众依法理性表达诉求。</w:t>
      </w:r>
    </w:p>
    <w:p w14:paraId="047CF4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eastAsia" w:ascii="方正楷体简体" w:hAnsi="方正楷体简体" w:eastAsia="方正楷体简体" w:cs="方正楷体简体"/>
          <w:sz w:val="32"/>
          <w:szCs w:val="32"/>
        </w:rPr>
        <w:t>（三）聚焦精准有效，深入开展多层次法治宣传教育。</w:t>
      </w:r>
      <w:r>
        <w:rPr>
          <w:rFonts w:hint="eastAsia" w:ascii="方正仿宋简体" w:hAnsi="方正仿宋简体" w:eastAsia="方正仿宋简体" w:cs="方正仿宋简体"/>
          <w:sz w:val="32"/>
          <w:szCs w:val="40"/>
        </w:rPr>
        <w:t>坚持“谁执法谁普法、谁管理谁普法、谁服务谁普法”推动法治宣传教育贴近基层、贴近群众、贴近生活。</w:t>
      </w:r>
    </w:p>
    <w:p w14:paraId="5B23D2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1</w:t>
      </w:r>
      <w:r>
        <w:rPr>
          <w:rFonts w:hint="eastAsia" w:ascii="方正仿宋简体" w:hAnsi="方正仿宋简体" w:eastAsia="方正仿宋简体" w:cs="方正仿宋简体"/>
          <w:sz w:val="32"/>
          <w:szCs w:val="40"/>
        </w:rPr>
        <w:t>.突出宣传重点</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围绕宪法、民法典、乡村振兴促进法、民族团结进步条例、边境管理条例、草原法、治安管理处罚法等与农牧民生产生活、社会稳定密切相关的法律法规，开展针对性宣传。</w:t>
      </w:r>
    </w:p>
    <w:p w14:paraId="69A5CA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2</w:t>
      </w:r>
      <w:r>
        <w:rPr>
          <w:rFonts w:hint="eastAsia" w:ascii="方正仿宋简体" w:hAnsi="方正仿宋简体" w:eastAsia="方正仿宋简体" w:cs="方正仿宋简体"/>
          <w:sz w:val="32"/>
          <w:szCs w:val="40"/>
        </w:rPr>
        <w:t>.创新宣传载体</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党政主要负责人坚持以身作则，带头尊法守法用法，营造良好法治氛围，</w:t>
      </w:r>
      <w:r>
        <w:rPr>
          <w:rFonts w:hint="eastAsia" w:ascii="方正仿宋简体" w:hAnsi="方正仿宋简体" w:eastAsia="方正仿宋简体" w:cs="方正仿宋简体"/>
          <w:sz w:val="32"/>
          <w:szCs w:val="40"/>
        </w:rPr>
        <w:t>结合“三月法治宣传月”“民族团结宣传月”“国家宪法日”等重要节点，利用乡文化广场、</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乡村振兴那曲奋进”活动成果展暨第十届尼屋桃花文艺汇演活动</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村级活动场所、虫草采挖点等，采取集中宣讲、以案释法、法治文艺演出、播放藏汉双语普法微视频</w:t>
      </w:r>
      <w:r>
        <w:rPr>
          <w:rFonts w:hint="eastAsia" w:ascii="方正仿宋简体" w:hAnsi="方正仿宋简体" w:eastAsia="方正仿宋简体" w:cs="方正仿宋简体"/>
          <w:sz w:val="32"/>
          <w:szCs w:val="40"/>
          <w:lang w:val="en-US" w:eastAsia="zh-CN"/>
        </w:rPr>
        <w:t>等形式</w:t>
      </w:r>
      <w:r>
        <w:rPr>
          <w:rFonts w:hint="eastAsia" w:ascii="方正仿宋简体" w:hAnsi="方正仿宋简体" w:eastAsia="方正仿宋简体" w:cs="方正仿宋简体"/>
          <w:sz w:val="32"/>
          <w:szCs w:val="40"/>
        </w:rPr>
        <w:t>、</w:t>
      </w:r>
      <w:r>
        <w:rPr>
          <w:rFonts w:hint="eastAsia" w:ascii="方正仿宋简体" w:hAnsi="方正仿宋简体" w:eastAsia="方正仿宋简体" w:cs="方正仿宋简体"/>
          <w:sz w:val="32"/>
          <w:szCs w:val="40"/>
          <w:lang w:val="en-US" w:eastAsia="zh-CN"/>
        </w:rPr>
        <w:t>开展法治宣传</w:t>
      </w:r>
      <w:r>
        <w:rPr>
          <w:rFonts w:hint="default" w:ascii="Times New Roman" w:hAnsi="Times New Roman" w:eastAsia="方正仿宋简体" w:cs="Times New Roman"/>
          <w:sz w:val="32"/>
          <w:szCs w:val="40"/>
          <w:lang w:val="en-US" w:eastAsia="zh-CN"/>
        </w:rPr>
        <w:t>105</w:t>
      </w:r>
      <w:r>
        <w:rPr>
          <w:rFonts w:hint="eastAsia" w:ascii="方正仿宋简体" w:hAnsi="方正仿宋简体" w:eastAsia="方正仿宋简体" w:cs="方正仿宋简体"/>
          <w:sz w:val="32"/>
          <w:szCs w:val="40"/>
          <w:lang w:val="en-US" w:eastAsia="zh-CN"/>
        </w:rPr>
        <w:t>次、发放普法宣传册</w:t>
      </w:r>
      <w:r>
        <w:rPr>
          <w:rFonts w:hint="default" w:ascii="Times New Roman" w:hAnsi="Times New Roman" w:eastAsia="方正仿宋简体" w:cs="Times New Roman"/>
          <w:sz w:val="32"/>
          <w:szCs w:val="40"/>
          <w:lang w:val="en-US" w:eastAsia="zh-CN"/>
        </w:rPr>
        <w:t>5000</w:t>
      </w:r>
      <w:r>
        <w:rPr>
          <w:rFonts w:hint="eastAsia" w:ascii="方正仿宋简体" w:hAnsi="方正仿宋简体" w:eastAsia="方正仿宋简体" w:cs="方正仿宋简体"/>
          <w:sz w:val="32"/>
          <w:szCs w:val="40"/>
          <w:lang w:val="en-US" w:eastAsia="zh-CN"/>
        </w:rPr>
        <w:t>余册，</w:t>
      </w:r>
      <w:r>
        <w:rPr>
          <w:rFonts w:hint="eastAsia" w:ascii="方正仿宋简体" w:hAnsi="方正仿宋简体" w:eastAsia="方正仿宋简体" w:cs="方正仿宋简体"/>
          <w:sz w:val="32"/>
          <w:szCs w:val="40"/>
        </w:rPr>
        <w:t>增强宣传吸引力。充分利用微信公众号、各村微信群等新媒体平台，推送通俗易懂的普法信息。</w:t>
      </w:r>
    </w:p>
    <w:p w14:paraId="05EDF9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3</w:t>
      </w:r>
      <w:r>
        <w:rPr>
          <w:rFonts w:hint="eastAsia" w:ascii="方正仿宋简体" w:hAnsi="方正仿宋简体" w:eastAsia="方正仿宋简体" w:cs="方正仿宋简体"/>
          <w:sz w:val="32"/>
          <w:szCs w:val="40"/>
        </w:rPr>
        <w:t>.实施精准滴灌</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针对乡干部职工、村“两委”干部、</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法律明白人</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村居人民调解员、</w:t>
      </w:r>
      <w:r>
        <w:rPr>
          <w:rFonts w:hint="eastAsia" w:ascii="方正仿宋简体" w:hAnsi="方正仿宋简体" w:eastAsia="方正仿宋简体" w:cs="方正仿宋简体"/>
          <w:sz w:val="32"/>
          <w:szCs w:val="40"/>
        </w:rPr>
        <w:t>青少年学生、个体工商户、流动人口等不同群体，开展差异化、订单式普法讲座</w:t>
      </w:r>
      <w:r>
        <w:rPr>
          <w:rFonts w:hint="default" w:ascii="Times New Roman" w:hAnsi="Times New Roman" w:eastAsia="方正仿宋简体" w:cs="Times New Roman"/>
          <w:sz w:val="32"/>
          <w:szCs w:val="40"/>
          <w:lang w:val="en-US" w:eastAsia="zh-CN"/>
        </w:rPr>
        <w:t>15</w:t>
      </w:r>
      <w:r>
        <w:rPr>
          <w:rFonts w:hint="eastAsia" w:ascii="方正仿宋简体" w:hAnsi="方正仿宋简体" w:eastAsia="方正仿宋简体" w:cs="方正仿宋简体"/>
          <w:sz w:val="32"/>
          <w:szCs w:val="40"/>
        </w:rPr>
        <w:t>场次。将法治教育融入村规民约修订、文明家庭评选等活动，提升基层治理法治化水平。</w:t>
      </w:r>
    </w:p>
    <w:p w14:paraId="494B92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eastAsia" w:ascii="方正楷体简体" w:hAnsi="方正楷体简体" w:eastAsia="方正楷体简体" w:cs="方正楷体简体"/>
          <w:sz w:val="32"/>
          <w:szCs w:val="32"/>
        </w:rPr>
        <w:t>（四）夯实基层基础，持续加强法治工作队伍建设。</w:t>
      </w:r>
      <w:r>
        <w:rPr>
          <w:rFonts w:hint="eastAsia" w:ascii="方正仿宋简体" w:hAnsi="方正仿宋简体" w:eastAsia="方正仿宋简体" w:cs="方正仿宋简体"/>
          <w:sz w:val="32"/>
          <w:szCs w:val="40"/>
        </w:rPr>
        <w:t>将建设一支德才兼备的高素质法治工作队伍作为基础工程来抓。</w:t>
      </w:r>
    </w:p>
    <w:p w14:paraId="290C01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lang w:val="en-US" w:eastAsia="zh-CN"/>
        </w:rPr>
        <w:t>1</w:t>
      </w:r>
      <w:r>
        <w:rPr>
          <w:rFonts w:hint="eastAsia" w:ascii="方正仿宋简体" w:hAnsi="方正仿宋简体" w:eastAsia="方正仿宋简体" w:cs="方正仿宋简体"/>
          <w:sz w:val="32"/>
          <w:szCs w:val="40"/>
          <w:lang w:val="en-US" w:eastAsia="zh-CN"/>
        </w:rPr>
        <w:t>.</w:t>
      </w:r>
      <w:r>
        <w:rPr>
          <w:rFonts w:hint="eastAsia" w:ascii="方正仿宋简体" w:hAnsi="方正仿宋简体" w:eastAsia="方正仿宋简体" w:cs="方正仿宋简体"/>
          <w:sz w:val="32"/>
          <w:szCs w:val="40"/>
        </w:rPr>
        <w:t>提升干部法治素养</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严格落实国家工作人员学法用法制度，组织全乡干部职工参加在线</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法治西藏学法风暴</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学法考法。</w:t>
      </w:r>
    </w:p>
    <w:p w14:paraId="118425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2</w:t>
      </w:r>
      <w:r>
        <w:rPr>
          <w:rFonts w:hint="eastAsia" w:ascii="方正仿宋简体" w:hAnsi="方正仿宋简体" w:eastAsia="方正仿宋简体" w:cs="方正仿宋简体"/>
          <w:sz w:val="32"/>
          <w:szCs w:val="40"/>
        </w:rPr>
        <w:t>.配强基层法治力量</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确保乡司法所人员配备到位、职责履行到位。加强对村“两委”干部、人民调解员、“法律明白人”的法律知识培训和业务指导，全年组织集中培训</w:t>
      </w:r>
      <w:r>
        <w:rPr>
          <w:rFonts w:hint="default" w:ascii="Times New Roman" w:hAnsi="Times New Roman" w:eastAsia="方正仿宋简体" w:cs="Times New Roman"/>
          <w:sz w:val="32"/>
          <w:szCs w:val="40"/>
        </w:rPr>
        <w:t>4</w:t>
      </w:r>
      <w:r>
        <w:rPr>
          <w:rFonts w:hint="eastAsia" w:ascii="方正仿宋简体" w:hAnsi="方正仿宋简体" w:eastAsia="方正仿宋简体" w:cs="方正仿宋简体"/>
          <w:sz w:val="32"/>
          <w:szCs w:val="40"/>
        </w:rPr>
        <w:t>次，提升其依法办事和调解纠纷的能力。</w:t>
      </w:r>
    </w:p>
    <w:p w14:paraId="31A904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二、存在的不足</w:t>
      </w:r>
      <w:r>
        <w:rPr>
          <w:rFonts w:hint="eastAsia" w:ascii="方正黑体简体" w:hAnsi="方正黑体简体" w:eastAsia="方正黑体简体" w:cs="方正黑体简体"/>
          <w:sz w:val="32"/>
          <w:szCs w:val="32"/>
          <w:lang w:val="en-US" w:eastAsia="zh-CN"/>
        </w:rPr>
        <w:t>和原因</w:t>
      </w:r>
    </w:p>
    <w:p w14:paraId="21784A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全乡</w:t>
      </w:r>
      <w:r>
        <w:rPr>
          <w:rFonts w:hint="default" w:ascii="Times New Roman" w:hAnsi="Times New Roman" w:eastAsia="方正仿宋简体" w:cs="Times New Roman"/>
          <w:sz w:val="32"/>
          <w:szCs w:val="40"/>
          <w:lang w:val="en-US" w:eastAsia="zh-CN"/>
        </w:rPr>
        <w:t>2025</w:t>
      </w:r>
      <w:r>
        <w:rPr>
          <w:rFonts w:hint="eastAsia" w:ascii="方正仿宋简体" w:hAnsi="方正仿宋简体" w:eastAsia="方正仿宋简体" w:cs="方正仿宋简体"/>
          <w:sz w:val="32"/>
          <w:szCs w:val="40"/>
          <w:lang w:val="en-US" w:eastAsia="zh-CN"/>
        </w:rPr>
        <w:t>年度</w:t>
      </w:r>
      <w:r>
        <w:rPr>
          <w:rFonts w:hint="eastAsia" w:ascii="方正仿宋简体" w:hAnsi="方正仿宋简体" w:eastAsia="方正仿宋简体" w:cs="方正仿宋简体"/>
          <w:sz w:val="32"/>
          <w:szCs w:val="40"/>
        </w:rPr>
        <w:t>法治政府建设工作</w:t>
      </w:r>
      <w:r>
        <w:rPr>
          <w:rFonts w:hint="eastAsia" w:ascii="方正仿宋简体" w:hAnsi="方正仿宋简体" w:eastAsia="方正仿宋简体" w:cs="方正仿宋简体"/>
          <w:sz w:val="32"/>
          <w:szCs w:val="40"/>
          <w:lang w:val="en-US" w:eastAsia="zh-CN"/>
        </w:rPr>
        <w:t>仍然存在</w:t>
      </w:r>
      <w:r>
        <w:rPr>
          <w:rFonts w:hint="eastAsia" w:ascii="方正仿宋简体" w:hAnsi="方正仿宋简体" w:eastAsia="方正仿宋简体" w:cs="方正仿宋简体"/>
          <w:sz w:val="32"/>
          <w:szCs w:val="40"/>
        </w:rPr>
        <w:t>一些薄弱环节</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b/>
          <w:bCs/>
          <w:sz w:val="32"/>
          <w:szCs w:val="40"/>
          <w:lang w:val="en-US" w:eastAsia="zh-CN"/>
        </w:rPr>
        <w:t>一是</w:t>
      </w:r>
      <w:r>
        <w:rPr>
          <w:rFonts w:hint="eastAsia" w:ascii="方正仿宋简体" w:hAnsi="方正仿宋简体" w:eastAsia="方正仿宋简体" w:cs="方正仿宋简体"/>
          <w:sz w:val="32"/>
          <w:szCs w:val="40"/>
        </w:rPr>
        <w:t>普法宣传实效性有待增强</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原因是</w:t>
      </w:r>
      <w:r>
        <w:rPr>
          <w:rFonts w:hint="eastAsia" w:ascii="方正仿宋简体" w:hAnsi="方正仿宋简体" w:eastAsia="方正仿宋简体" w:cs="方正仿宋简体"/>
          <w:sz w:val="32"/>
          <w:szCs w:val="40"/>
          <w:lang w:eastAsia="zh-CN"/>
        </w:rPr>
        <w:t>前期对</w:t>
      </w:r>
      <w:r>
        <w:rPr>
          <w:rFonts w:hint="eastAsia" w:ascii="方正仿宋简体" w:hAnsi="方正仿宋简体" w:eastAsia="方正仿宋简体" w:cs="方正仿宋简体"/>
          <w:sz w:val="32"/>
          <w:szCs w:val="40"/>
          <w:lang w:val="en-US" w:eastAsia="zh-CN"/>
        </w:rPr>
        <w:t>上尼屋和部分自然村</w:t>
      </w:r>
      <w:r>
        <w:rPr>
          <w:rFonts w:hint="eastAsia" w:ascii="方正仿宋简体" w:hAnsi="方正仿宋简体" w:eastAsia="方正仿宋简体" w:cs="方正仿宋简体"/>
          <w:sz w:val="32"/>
          <w:szCs w:val="40"/>
          <w:lang w:eastAsia="zh-CN"/>
        </w:rPr>
        <w:t>农牧民群众</w:t>
      </w:r>
      <w:r>
        <w:rPr>
          <w:rFonts w:hint="eastAsia" w:ascii="方正仿宋简体" w:hAnsi="方正仿宋简体" w:eastAsia="方正仿宋简体" w:cs="方正仿宋简体"/>
          <w:sz w:val="32"/>
          <w:szCs w:val="40"/>
          <w:lang w:val="en-US" w:eastAsia="zh-CN"/>
        </w:rPr>
        <w:t>的</w:t>
      </w:r>
      <w:r>
        <w:rPr>
          <w:rFonts w:hint="eastAsia" w:ascii="方正仿宋简体" w:hAnsi="方正仿宋简体" w:eastAsia="方正仿宋简体" w:cs="方正仿宋简体"/>
          <w:sz w:val="32"/>
          <w:szCs w:val="40"/>
          <w:lang w:eastAsia="zh-CN"/>
        </w:rPr>
        <w:t>实际法律需求、信息接收习惯、文化认知特点等缺乏系统深入的调查研究；</w:t>
      </w:r>
      <w:r>
        <w:rPr>
          <w:rFonts w:hint="eastAsia" w:ascii="方正仿宋简体" w:hAnsi="方正仿宋简体" w:eastAsia="方正仿宋简体" w:cs="方正仿宋简体"/>
          <w:b/>
          <w:bCs/>
          <w:sz w:val="32"/>
          <w:szCs w:val="40"/>
          <w:lang w:val="en-US" w:eastAsia="zh-CN"/>
        </w:rPr>
        <w:t>二是</w:t>
      </w:r>
      <w:r>
        <w:rPr>
          <w:rFonts w:hint="eastAsia" w:ascii="方正仿宋简体" w:hAnsi="方正仿宋简体" w:eastAsia="方正仿宋简体" w:cs="方正仿宋简体"/>
          <w:sz w:val="32"/>
          <w:szCs w:val="40"/>
        </w:rPr>
        <w:t>法治队伍专业能力面临挑战</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原因是实践锻炼与经验交流平台有限，缺乏高质量的实践锻炼机会和跨地区、跨部门的业务交流平台。</w:t>
      </w:r>
    </w:p>
    <w:p w14:paraId="4B3465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rPr>
        <w:t>三、</w:t>
      </w:r>
      <w:r>
        <w:rPr>
          <w:rFonts w:hint="eastAsia" w:ascii="Times New Roman" w:hAnsi="Times New Roman" w:eastAsia="黑体" w:cs="Times New Roman"/>
          <w:color w:val="auto"/>
          <w:sz w:val="32"/>
          <w:szCs w:val="32"/>
          <w:lang w:eastAsia="zh-CN"/>
        </w:rPr>
        <w:t>负责人履行推进法治第一责任人职责情况</w:t>
      </w:r>
    </w:p>
    <w:p w14:paraId="0F9689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2025年，我乡党政主要负责人以习近平新时代中国特色社会主义思想为指导，深入践行习近平法治思想，把习近平法治思想贯彻落实到工作各方面，全过程。</w:t>
      </w:r>
    </w:p>
    <w:p w14:paraId="3DE724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一是切实履行推进法治建设第一责任人职责，深入贯彻落实县委县政府关于全面依法治县，建设法治政府的决策部署，深入学习领会习近平法治思想，把习近平法治思想贯彻落实到法治政府建设各方面，落实集体学法，配合上级部门积极参加述法述职报告。</w:t>
      </w:r>
    </w:p>
    <w:p w14:paraId="357729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lang w:val="en-US" w:eastAsia="zh-CN"/>
        </w:rPr>
      </w:pPr>
      <w:r>
        <w:rPr>
          <w:rFonts w:hint="eastAsia" w:ascii="方正仿宋简体" w:hAnsi="方正仿宋简体" w:eastAsia="方正仿宋简体" w:cs="方正仿宋简体"/>
          <w:sz w:val="32"/>
          <w:szCs w:val="40"/>
          <w:lang w:val="en-US" w:eastAsia="zh-CN"/>
        </w:rPr>
        <w:t>二是党政负责人作为推动法治建设第一责任人，切实履行法治建设重要组织者，推动者和实践者的职责，将法治政府建设摆在全局工作的重要位置，将法治政府建设重要工作亲自部署，重大问题亲自过问，研究部署年度法治政府建设工作，把法治建设同安全生产，食品药品，公共基础工作同安排，同部署，同落实，全面深化安全生产法治政府建设。</w:t>
      </w:r>
    </w:p>
    <w:p w14:paraId="706276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四、下一步工作计划</w:t>
      </w:r>
    </w:p>
    <w:p w14:paraId="444464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2026</w:t>
      </w:r>
      <w:r>
        <w:rPr>
          <w:rFonts w:hint="eastAsia" w:ascii="方正仿宋简体" w:hAnsi="方正仿宋简体" w:eastAsia="方正仿宋简体" w:cs="方正仿宋简体"/>
          <w:sz w:val="32"/>
          <w:szCs w:val="40"/>
        </w:rPr>
        <w:t>年，尼屋乡将继续坚持以新时代中国特色社会主义思想为指导，深入贯彻落实上级关于法治政府建设的新部署新要求，针对存在</w:t>
      </w:r>
      <w:r>
        <w:rPr>
          <w:rFonts w:hint="eastAsia" w:ascii="方正仿宋简体" w:hAnsi="方正仿宋简体" w:eastAsia="方正仿宋简体" w:cs="方正仿宋简体"/>
          <w:sz w:val="32"/>
          <w:szCs w:val="40"/>
          <w:lang w:eastAsia="zh-CN"/>
        </w:rPr>
        <w:t>的</w:t>
      </w:r>
      <w:r>
        <w:rPr>
          <w:rFonts w:hint="eastAsia" w:ascii="方正仿宋简体" w:hAnsi="方正仿宋简体" w:eastAsia="方正仿宋简体" w:cs="方正仿宋简体"/>
          <w:sz w:val="32"/>
          <w:szCs w:val="40"/>
        </w:rPr>
        <w:t>问题，</w:t>
      </w:r>
      <w:r>
        <w:rPr>
          <w:rFonts w:hint="eastAsia" w:ascii="方正仿宋简体" w:hAnsi="方正仿宋简体" w:eastAsia="方正仿宋简体" w:cs="方正仿宋简体"/>
          <w:sz w:val="32"/>
          <w:szCs w:val="40"/>
          <w:lang w:val="en-US" w:eastAsia="zh-CN"/>
        </w:rPr>
        <w:t>下一步我乡将</w:t>
      </w:r>
      <w:r>
        <w:rPr>
          <w:rFonts w:hint="eastAsia" w:ascii="方正仿宋简体" w:hAnsi="方正仿宋简体" w:eastAsia="方正仿宋简体" w:cs="方正仿宋简体"/>
          <w:sz w:val="32"/>
          <w:szCs w:val="40"/>
        </w:rPr>
        <w:t>重点抓好以下工作：</w:t>
      </w:r>
    </w:p>
    <w:p w14:paraId="2C1AF6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1</w:t>
      </w:r>
      <w:r>
        <w:rPr>
          <w:rFonts w:hint="eastAsia" w:ascii="方正仿宋简体" w:hAnsi="方正仿宋简体" w:eastAsia="方正仿宋简体" w:cs="方正仿宋简体"/>
          <w:sz w:val="32"/>
          <w:szCs w:val="40"/>
        </w:rPr>
        <w:t>. 持续强化理论武装与责任落实</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rPr>
        <w:t>深入学习贯彻法治思想，压实党政主要负责人推进法治建设第一责任人职责，将法治建设成效作为衡量各级领导班子和领导干部工作实绩的重要内容。</w:t>
      </w:r>
    </w:p>
    <w:p w14:paraId="3B9283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lang w:val="en-US" w:eastAsia="zh-CN"/>
        </w:rPr>
        <w:t>2</w:t>
      </w:r>
      <w:r>
        <w:rPr>
          <w:rFonts w:hint="eastAsia" w:ascii="Times New Roman" w:hAnsi="Times New Roman" w:eastAsia="方正仿宋简体" w:cs="Times New Roman"/>
          <w:sz w:val="32"/>
          <w:szCs w:val="40"/>
        </w:rPr>
        <w:t>.</w:t>
      </w:r>
      <w:r>
        <w:rPr>
          <w:rFonts w:hint="eastAsia" w:ascii="方正仿宋简体" w:hAnsi="方正仿宋简体" w:eastAsia="方正仿宋简体" w:cs="方正仿宋简体"/>
          <w:sz w:val="32"/>
          <w:szCs w:val="40"/>
        </w:rPr>
        <w:t>深化矛盾纠纷源头预防化解</w:t>
      </w:r>
      <w:r>
        <w:rPr>
          <w:rFonts w:hint="eastAsia" w:ascii="方正仿宋简体" w:hAnsi="方正仿宋简体" w:eastAsia="方正仿宋简体" w:cs="方正仿宋简体"/>
          <w:sz w:val="32"/>
          <w:szCs w:val="40"/>
          <w:lang w:eastAsia="zh-CN"/>
        </w:rPr>
        <w:t>。</w:t>
      </w:r>
      <w:r>
        <w:rPr>
          <w:rFonts w:hint="eastAsia" w:ascii="方正仿宋简体" w:hAnsi="方正仿宋简体" w:eastAsia="方正仿宋简体" w:cs="方正仿宋简体"/>
          <w:sz w:val="32"/>
          <w:szCs w:val="40"/>
          <w:lang w:val="en-US" w:eastAsia="zh-CN"/>
        </w:rPr>
        <w:t>结合新时代枫桥经验，</w:t>
      </w:r>
      <w:r>
        <w:rPr>
          <w:rFonts w:hint="eastAsia" w:ascii="方正仿宋简体" w:hAnsi="方正仿宋简体" w:eastAsia="方正仿宋简体" w:cs="方正仿宋简体"/>
          <w:sz w:val="32"/>
          <w:szCs w:val="40"/>
        </w:rPr>
        <w:t>完善社会矛盾纠纷多元预防调处化解综合机制，加强诉源治理。</w:t>
      </w:r>
      <w:r>
        <w:rPr>
          <w:rFonts w:hint="eastAsia" w:ascii="方正仿宋简体" w:hAnsi="方正仿宋简体" w:eastAsia="方正仿宋简体" w:cs="方正仿宋简体"/>
          <w:sz w:val="32"/>
          <w:szCs w:val="40"/>
          <w:lang w:val="en-US" w:eastAsia="zh-CN"/>
        </w:rPr>
        <w:t>提升调解员的法律知识储备，</w:t>
      </w:r>
      <w:r>
        <w:rPr>
          <w:rFonts w:hint="eastAsia" w:ascii="方正仿宋简体" w:hAnsi="方正仿宋简体" w:eastAsia="方正仿宋简体" w:cs="方正仿宋简体"/>
          <w:sz w:val="32"/>
          <w:szCs w:val="40"/>
        </w:rPr>
        <w:t>提升调解效能。强化重点领域、重点群体、重点时段的风险隐患排查化解。</w:t>
      </w:r>
    </w:p>
    <w:p w14:paraId="6105D1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40"/>
        </w:rPr>
      </w:pPr>
      <w:r>
        <w:rPr>
          <w:rFonts w:hint="eastAsia" w:ascii="方正仿宋简体" w:hAnsi="方正仿宋简体" w:eastAsia="方正仿宋简体" w:cs="方正仿宋简体"/>
          <w:sz w:val="32"/>
          <w:szCs w:val="40"/>
        </w:rPr>
        <w:t>尼屋乡将以更加坚定的决心、更加有力的举措、更加务实的作风，扎实推进法治政府建设各项工作，努力开创我乡法治建设新局面，为全面建设社会主义现代化新尼屋提供更加坚强的法治保障。</w:t>
      </w:r>
    </w:p>
    <w:p w14:paraId="68D2F38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40"/>
        </w:rPr>
      </w:pPr>
    </w:p>
    <w:p w14:paraId="1246F5A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40"/>
        </w:rPr>
      </w:pPr>
    </w:p>
    <w:p w14:paraId="47E44CB0">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方正仿宋简体" w:hAnsi="方正仿宋简体" w:eastAsia="方正仿宋简体" w:cs="方正仿宋简体"/>
          <w:sz w:val="32"/>
          <w:szCs w:val="40"/>
        </w:rPr>
      </w:pPr>
      <w:r>
        <w:rPr>
          <w:rFonts w:hint="eastAsia" w:ascii="方正仿宋简体" w:hAnsi="方正仿宋简体" w:eastAsia="方正仿宋简体" w:cs="方正仿宋简体"/>
          <w:sz w:val="32"/>
          <w:szCs w:val="40"/>
        </w:rPr>
        <w:t>尼屋乡人民政府</w:t>
      </w:r>
    </w:p>
    <w:p w14:paraId="13C67457">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方正仿宋简体" w:hAnsi="方正仿宋简体" w:eastAsia="方正仿宋简体" w:cs="方正仿宋简体"/>
          <w:sz w:val="32"/>
          <w:szCs w:val="40"/>
        </w:rPr>
      </w:pPr>
      <w:r>
        <w:rPr>
          <w:rFonts w:hint="default" w:ascii="Times New Roman" w:hAnsi="Times New Roman" w:eastAsia="方正仿宋简体" w:cs="Times New Roman"/>
          <w:sz w:val="32"/>
          <w:szCs w:val="40"/>
        </w:rPr>
        <w:t>202</w:t>
      </w:r>
      <w:r>
        <w:rPr>
          <w:rFonts w:hint="default" w:ascii="Times New Roman" w:hAnsi="Times New Roman" w:eastAsia="方正仿宋简体" w:cs="Times New Roman"/>
          <w:sz w:val="32"/>
          <w:szCs w:val="40"/>
          <w:lang w:val="en-US" w:eastAsia="zh-CN"/>
        </w:rPr>
        <w:t>6</w:t>
      </w:r>
      <w:r>
        <w:rPr>
          <w:rFonts w:hint="eastAsia" w:ascii="方正仿宋简体" w:hAnsi="方正仿宋简体" w:eastAsia="方正仿宋简体" w:cs="方正仿宋简体"/>
          <w:sz w:val="32"/>
          <w:szCs w:val="40"/>
        </w:rPr>
        <w:t>年</w:t>
      </w:r>
      <w:r>
        <w:rPr>
          <w:rFonts w:hint="default" w:ascii="Times New Roman" w:hAnsi="Times New Roman" w:eastAsia="方正仿宋简体" w:cs="Times New Roman"/>
          <w:sz w:val="32"/>
          <w:szCs w:val="40"/>
          <w:lang w:val="en-US" w:eastAsia="zh-CN"/>
        </w:rPr>
        <w:t>1</w:t>
      </w:r>
      <w:r>
        <w:rPr>
          <w:rFonts w:hint="eastAsia" w:ascii="方正仿宋简体" w:hAnsi="方正仿宋简体" w:eastAsia="方正仿宋简体" w:cs="方正仿宋简体"/>
          <w:sz w:val="32"/>
          <w:szCs w:val="40"/>
        </w:rPr>
        <w:t>月</w:t>
      </w:r>
      <w:r>
        <w:rPr>
          <w:rFonts w:hint="default" w:ascii="Times New Roman" w:hAnsi="Times New Roman" w:eastAsia="方正仿宋简体" w:cs="Times New Roman"/>
          <w:sz w:val="32"/>
          <w:szCs w:val="40"/>
          <w:lang w:val="en-US" w:eastAsia="zh-CN"/>
        </w:rPr>
        <w:t>12</w:t>
      </w:r>
      <w:r>
        <w:rPr>
          <w:rFonts w:hint="eastAsia" w:ascii="方正仿宋简体" w:hAnsi="方正仿宋简体" w:eastAsia="方正仿宋简体" w:cs="方正仿宋简体"/>
          <w:sz w:val="32"/>
          <w:szCs w:val="40"/>
        </w:rPr>
        <w:t>日</w:t>
      </w:r>
    </w:p>
    <w:sectPr>
      <w:footerReference r:id="rId3" w:type="default"/>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BZDMT">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B211">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91AA0">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891AA0">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E0A67"/>
    <w:rsid w:val="09ED704F"/>
    <w:rsid w:val="0CFF4522"/>
    <w:rsid w:val="1A9D66F4"/>
    <w:rsid w:val="1E383F97"/>
    <w:rsid w:val="26AA3528"/>
    <w:rsid w:val="26F853FE"/>
    <w:rsid w:val="321D59C5"/>
    <w:rsid w:val="35ED5087"/>
    <w:rsid w:val="388826C2"/>
    <w:rsid w:val="3E0527E4"/>
    <w:rsid w:val="43651F6C"/>
    <w:rsid w:val="448226F3"/>
    <w:rsid w:val="4D6E026B"/>
    <w:rsid w:val="4F517F97"/>
    <w:rsid w:val="5022399A"/>
    <w:rsid w:val="5E631F09"/>
    <w:rsid w:val="5F758AD7"/>
    <w:rsid w:val="6B7A5565"/>
    <w:rsid w:val="6BD5397C"/>
    <w:rsid w:val="6F0F4C0F"/>
    <w:rsid w:val="6FF26F73"/>
    <w:rsid w:val="746B3299"/>
    <w:rsid w:val="79D030E6"/>
    <w:rsid w:val="7BF94A96"/>
    <w:rsid w:val="7FEF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2417</Words>
  <Characters>2492</Characters>
  <Lines>0</Lines>
  <Paragraphs>0</Paragraphs>
  <TotalTime>7</TotalTime>
  <ScaleCrop>false</ScaleCrop>
  <LinksUpToDate>false</LinksUpToDate>
  <CharactersWithSpaces>2493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2022-04-21T20:16:00Z</dcterms:created>
  <dc:creator>Administrator</dc:creator>
  <cp:lastModifiedBy>XSJ101</cp:lastModifiedBy>
  <cp:lastPrinted>2026-01-16T19:17:00Z</cp:lastPrinted>
  <dcterms:modified xsi:type="dcterms:W3CDTF">2026-01-29T04:30:41Z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2060409D197148B4AFB14AB159B9BD10_13</vt:lpwstr>
  </property>
  <property fmtid="{D5CDD505-2E9C-101B-9397-08002B2CF9AE}" pid="4" name="KSOTemplateDocerSaveRecord">
    <vt:lpwstr>eyJoZGlkIjoiMWVmMWY0M2IxMDczZjFlOGExZTMwMzU1NzBjNjFkOTAiLCJ1c2VySWQiOiIyNzIxNzgxOTkifQ==</vt:lpwstr>
  </property>
</Properties>
</file>