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C7F3D">
      <w:pPr>
        <w:keepNext w:val="0"/>
        <w:keepLines w:val="0"/>
        <w:pageBreakBefore w:val="0"/>
        <w:widowControl w:val="0"/>
        <w:numPr>
          <w:ilvl w:val="0"/>
          <w:numId w:val="0"/>
        </w:numPr>
        <w:tabs>
          <w:tab w:val="left" w:pos="926"/>
        </w:tabs>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bookmarkStart w:id="0" w:name="_GoBack"/>
      <w:r>
        <w:rPr>
          <w:rFonts w:hint="eastAsia" w:ascii="方正小标宋简体" w:hAnsi="方正小标宋简体" w:eastAsia="方正小标宋简体" w:cs="方正小标宋简体"/>
          <w:sz w:val="44"/>
          <w:szCs w:val="44"/>
          <w:highlight w:val="none"/>
          <w:lang w:val="en-US" w:eastAsia="zh-CN"/>
        </w:rPr>
        <w:t>嘉黎县关于载畜量提升成果分解方案</w:t>
      </w:r>
    </w:p>
    <w:bookmarkEnd w:id="0"/>
    <w:p w14:paraId="4C77B93E">
      <w:pPr>
        <w:keepNext w:val="0"/>
        <w:keepLines w:val="0"/>
        <w:pageBreakBefore w:val="0"/>
        <w:widowControl w:val="0"/>
        <w:numPr>
          <w:ilvl w:val="0"/>
          <w:numId w:val="0"/>
        </w:numPr>
        <w:tabs>
          <w:tab w:val="left" w:pos="926"/>
        </w:tabs>
        <w:kinsoku/>
        <w:wordWrap/>
        <w:overflowPunct/>
        <w:topLinePunct w:val="0"/>
        <w:autoSpaceDE/>
        <w:autoSpaceDN/>
        <w:bidi w:val="0"/>
        <w:adjustRightInd/>
        <w:snapToGrid/>
        <w:spacing w:line="560" w:lineRule="exact"/>
        <w:ind w:firstLine="880" w:firstLineChars="200"/>
        <w:jc w:val="both"/>
        <w:textAlignment w:val="auto"/>
        <w:rPr>
          <w:rFonts w:hint="eastAsia" w:ascii="方正小标宋简体" w:hAnsi="方正小标宋简体" w:eastAsia="方正小标宋简体" w:cs="方正小标宋简体"/>
          <w:sz w:val="44"/>
          <w:szCs w:val="44"/>
          <w:highlight w:val="none"/>
          <w:lang w:val="en-US" w:eastAsia="zh-CN"/>
        </w:rPr>
      </w:pPr>
    </w:p>
    <w:p w14:paraId="384536F7">
      <w:pPr>
        <w:keepNext w:val="0"/>
        <w:keepLines w:val="0"/>
        <w:pageBreakBefore w:val="0"/>
        <w:widowControl w:val="0"/>
        <w:numPr>
          <w:ilvl w:val="0"/>
          <w:numId w:val="0"/>
        </w:numPr>
        <w:tabs>
          <w:tab w:val="left" w:pos="926"/>
        </w:tabs>
        <w:kinsoku/>
        <w:wordWrap/>
        <w:overflowPunct/>
        <w:topLinePunct w:val="0"/>
        <w:autoSpaceDE/>
        <w:autoSpaceDN/>
        <w:bidi w:val="0"/>
        <w:adjustRightInd/>
        <w:snapToGrid/>
        <w:spacing w:line="560" w:lineRule="exact"/>
        <w:ind w:firstLine="640" w:firstLineChars="200"/>
        <w:jc w:val="both"/>
        <w:textAlignment w:val="auto"/>
        <w:rPr>
          <w:rFonts w:hint="eastAsia" w:ascii="方正黑体简体" w:hAnsi="方正黑体简体" w:eastAsia="方正黑体简体" w:cs="方正黑体简体"/>
          <w:sz w:val="32"/>
          <w:szCs w:val="32"/>
          <w:highlight w:val="none"/>
          <w:lang w:eastAsia="zh-CN"/>
        </w:rPr>
      </w:pPr>
      <w:r>
        <w:rPr>
          <w:rFonts w:hint="eastAsia" w:ascii="方正黑体简体" w:hAnsi="方正黑体简体" w:eastAsia="方正黑体简体" w:cs="方正黑体简体"/>
          <w:sz w:val="32"/>
          <w:szCs w:val="32"/>
          <w:highlight w:val="none"/>
          <w:lang w:val="en-US" w:eastAsia="zh-CN"/>
        </w:rPr>
        <w:t>乡（镇）、村、户三级分解方法</w:t>
      </w:r>
    </w:p>
    <w:p w14:paraId="64737A45">
      <w:pPr>
        <w:keepNext w:val="0"/>
        <w:keepLines w:val="0"/>
        <w:pageBreakBefore w:val="0"/>
        <w:widowControl w:val="0"/>
        <w:numPr>
          <w:ilvl w:val="0"/>
          <w:numId w:val="1"/>
        </w:numPr>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简体" w:cs="方正楷体简体"/>
          <w:sz w:val="32"/>
          <w:szCs w:val="32"/>
          <w:highlight w:val="none"/>
          <w:lang w:val="en-US" w:eastAsia="zh-CN"/>
        </w:rPr>
      </w:pPr>
      <w:r>
        <w:rPr>
          <w:rFonts w:hint="eastAsia" w:ascii="Times New Roman" w:hAnsi="Times New Roman" w:eastAsia="方正楷体简体" w:cs="方正楷体简体"/>
          <w:sz w:val="32"/>
          <w:szCs w:val="32"/>
          <w:highlight w:val="none"/>
          <w:lang w:val="en-US" w:eastAsia="zh-CN"/>
        </w:rPr>
        <w:t>乡（镇）级分解方法</w:t>
      </w:r>
    </w:p>
    <w:p w14:paraId="78DAFE5A">
      <w:pPr>
        <w:keepNext w:val="0"/>
        <w:keepLines w:val="0"/>
        <w:pageBreakBefore w:val="0"/>
        <w:widowControl w:val="0"/>
        <w:numPr>
          <w:ilvl w:val="0"/>
          <w:numId w:val="2"/>
        </w:numPr>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简体" w:cs="Times New Roman"/>
          <w:b/>
          <w:bCs/>
          <w:sz w:val="32"/>
          <w:szCs w:val="32"/>
          <w:highlight w:val="none"/>
          <w:lang w:eastAsia="zh-CN"/>
        </w:rPr>
      </w:pPr>
      <w:r>
        <w:rPr>
          <w:rFonts w:hint="eastAsia" w:ascii="Times New Roman" w:hAnsi="Times New Roman" w:eastAsia="方正仿宋简体" w:cs="Times New Roman"/>
          <w:b/>
          <w:bCs/>
          <w:sz w:val="32"/>
          <w:szCs w:val="32"/>
          <w:highlight w:val="none"/>
          <w:lang w:val="en-US" w:eastAsia="zh-CN"/>
        </w:rPr>
        <w:t>分解因素及权重</w:t>
      </w:r>
    </w:p>
    <w:p w14:paraId="6217F820">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Theme="minorEastAsia"/>
          <w:highlight w:val="none"/>
          <w:lang w:val="en-US" w:eastAsia="zh-CN"/>
        </w:rPr>
      </w:pPr>
      <w:r>
        <w:rPr>
          <w:rFonts w:hint="eastAsia" w:ascii="Times New Roman" w:hAnsi="Times New Roman" w:eastAsia="方正仿宋简体" w:cs="Times New Roman"/>
          <w:sz w:val="32"/>
          <w:szCs w:val="32"/>
          <w:highlight w:val="none"/>
          <w:lang w:eastAsia="zh-CN"/>
        </w:rPr>
        <w:t>本轮新增载畜量共计</w:t>
      </w:r>
      <w:r>
        <w:rPr>
          <w:rFonts w:hint="eastAsia" w:ascii="Times New Roman" w:hAnsi="Times New Roman" w:eastAsia="方正仿宋简体" w:cs="Times New Roman"/>
          <w:sz w:val="32"/>
          <w:szCs w:val="32"/>
          <w:highlight w:val="none"/>
          <w:u w:val="none"/>
          <w:lang w:eastAsia="zh-CN"/>
        </w:rPr>
        <w:t>320740.48</w:t>
      </w:r>
      <w:r>
        <w:rPr>
          <w:rFonts w:hint="eastAsia" w:ascii="Times New Roman" w:hAnsi="Times New Roman" w:eastAsia="方正仿宋简体" w:cs="Times New Roman"/>
          <w:sz w:val="32"/>
          <w:szCs w:val="32"/>
          <w:highlight w:val="none"/>
          <w:lang w:eastAsia="zh-CN"/>
        </w:rPr>
        <w:t>绵羊单</w:t>
      </w:r>
      <w:r>
        <w:rPr>
          <w:rFonts w:hint="eastAsia" w:ascii="Times New Roman" w:hAnsi="Times New Roman" w:eastAsia="方正仿宋简体" w:cs="方正仿宋简体"/>
          <w:sz w:val="32"/>
          <w:szCs w:val="32"/>
          <w:highlight w:val="none"/>
          <w:lang w:eastAsia="zh-CN"/>
        </w:rPr>
        <w:t>位，</w:t>
      </w:r>
      <w:r>
        <w:rPr>
          <w:rFonts w:hint="eastAsia" w:ascii="Times New Roman" w:hAnsi="Times New Roman" w:eastAsia="方正仿宋简体" w:cs="方正仿宋简体"/>
          <w:sz w:val="32"/>
          <w:szCs w:val="32"/>
          <w:highlight w:val="none"/>
          <w:lang w:val="en-US" w:eastAsia="zh-CN"/>
        </w:rPr>
        <w:t>乡镇</w:t>
      </w:r>
      <w:r>
        <w:rPr>
          <w:rFonts w:hint="eastAsia" w:ascii="Times New Roman" w:hAnsi="Times New Roman" w:eastAsia="方正仿宋简体" w:cs="方正仿宋简体"/>
          <w:sz w:val="32"/>
          <w:szCs w:val="32"/>
          <w:highlight w:val="none"/>
          <w:lang w:eastAsia="zh-CN"/>
        </w:rPr>
        <w:t>分解工作严格执“综合因素分解法”，在原有因素基础上进一步强化民生导向与效率意识，具体依据以下</w:t>
      </w:r>
      <w:r>
        <w:rPr>
          <w:rFonts w:hint="eastAsia" w:ascii="Times New Roman" w:hAnsi="Times New Roman" w:eastAsia="方正仿宋简体" w:cs="方正仿宋简体"/>
          <w:sz w:val="32"/>
          <w:szCs w:val="32"/>
          <w:highlight w:val="none"/>
          <w:lang w:val="en-US" w:eastAsia="zh-CN"/>
        </w:rPr>
        <w:t>五</w:t>
      </w:r>
      <w:r>
        <w:rPr>
          <w:rFonts w:hint="eastAsia" w:ascii="Times New Roman" w:hAnsi="Times New Roman" w:eastAsia="方正仿宋简体" w:cs="方正仿宋简体"/>
          <w:sz w:val="32"/>
          <w:szCs w:val="32"/>
          <w:highlight w:val="none"/>
          <w:lang w:eastAsia="zh-CN"/>
        </w:rPr>
        <w:t>项因素</w:t>
      </w:r>
      <w:r>
        <w:rPr>
          <w:rFonts w:hint="eastAsia" w:ascii="Times New Roman" w:hAnsi="Times New Roman" w:eastAsia="方正仿宋简体" w:cs="方正仿宋简体"/>
          <w:sz w:val="32"/>
          <w:szCs w:val="32"/>
          <w:highlight w:val="none"/>
          <w:lang w:val="en-US" w:eastAsia="zh-CN"/>
        </w:rPr>
        <w:t>相应</w:t>
      </w:r>
      <w:r>
        <w:rPr>
          <w:rFonts w:hint="eastAsia" w:ascii="Times New Roman" w:hAnsi="Times New Roman" w:eastAsia="方正仿宋简体" w:cs="方正仿宋简体"/>
          <w:sz w:val="32"/>
          <w:szCs w:val="32"/>
          <w:highlight w:val="none"/>
          <w:lang w:eastAsia="zh-CN"/>
        </w:rPr>
        <w:t>权重进行科学分解：</w:t>
      </w:r>
    </w:p>
    <w:p w14:paraId="5D9C3C50">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简体" w:cs="Times New Roman"/>
          <w:b w:val="0"/>
          <w:bCs w:val="0"/>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①可牧业利用天然草地因素（权重</w:t>
      </w:r>
      <w:r>
        <w:rPr>
          <w:rFonts w:hint="default" w:ascii="Times New Roman" w:hAnsi="Times New Roman" w:eastAsia="方正仿宋简体" w:cs="Times New Roman"/>
          <w:b/>
          <w:bCs/>
          <w:sz w:val="32"/>
          <w:szCs w:val="32"/>
          <w:highlight w:val="none"/>
          <w:lang w:val="en-US" w:eastAsia="zh-CN"/>
        </w:rPr>
        <w:t>4</w:t>
      </w:r>
      <w:r>
        <w:rPr>
          <w:rFonts w:hint="eastAsia" w:ascii="Times New Roman" w:hAnsi="Times New Roman" w:eastAsia="方正仿宋简体" w:cs="Times New Roman"/>
          <w:b/>
          <w:bCs/>
          <w:sz w:val="32"/>
          <w:szCs w:val="32"/>
          <w:highlight w:val="none"/>
          <w:lang w:val="en-US" w:eastAsia="zh-CN"/>
        </w:rPr>
        <w:t>0%）：</w:t>
      </w:r>
      <w:r>
        <w:rPr>
          <w:rFonts w:hint="eastAsia" w:ascii="Times New Roman" w:hAnsi="Times New Roman" w:eastAsia="方正仿宋简体" w:cs="Times New Roman"/>
          <w:b w:val="0"/>
          <w:bCs w:val="0"/>
          <w:sz w:val="32"/>
          <w:szCs w:val="32"/>
          <w:highlight w:val="none"/>
          <w:lang w:val="en-US" w:eastAsia="zh-CN"/>
        </w:rPr>
        <w:t>可牧业利用天然草地是放牧的主要场所，把可牧业利用天然草地因素作为核心分解因素，按各乡镇可牧业利用天然草地总面积占全县可牧业利用天然草地总量的比例核定，核心体现各乡镇草原资源禀赋的核心差异，是载畜量分解的基础依据。</w:t>
      </w:r>
    </w:p>
    <w:p w14:paraId="7ED5A36D">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②可牧业利用其他草资源因素（权重2</w:t>
      </w:r>
      <w:r>
        <w:rPr>
          <w:rFonts w:hint="default" w:ascii="Times New Roman" w:hAnsi="Times New Roman" w:eastAsia="方正仿宋简体" w:cs="Times New Roman"/>
          <w:b/>
          <w:bCs/>
          <w:sz w:val="32"/>
          <w:szCs w:val="32"/>
          <w:highlight w:val="none"/>
          <w:lang w:val="en-US" w:eastAsia="zh-CN"/>
        </w:rPr>
        <w:t>0</w:t>
      </w:r>
      <w:r>
        <w:rPr>
          <w:rFonts w:hint="eastAsia" w:ascii="Times New Roman" w:hAnsi="Times New Roman" w:eastAsia="方正仿宋简体" w:cs="Times New Roman"/>
          <w:b/>
          <w:bCs/>
          <w:sz w:val="32"/>
          <w:szCs w:val="32"/>
          <w:highlight w:val="none"/>
          <w:lang w:val="en-US" w:eastAsia="zh-CN"/>
        </w:rPr>
        <w:t>%）：</w:t>
      </w:r>
      <w:r>
        <w:rPr>
          <w:rFonts w:hint="eastAsia" w:ascii="Times New Roman" w:hAnsi="Times New Roman" w:eastAsia="方正仿宋简体" w:cs="Times New Roman"/>
          <w:b w:val="0"/>
          <w:bCs w:val="0"/>
          <w:sz w:val="32"/>
          <w:szCs w:val="32"/>
          <w:highlight w:val="none"/>
          <w:lang w:val="en-US" w:eastAsia="zh-CN"/>
        </w:rPr>
        <w:t>作为天然草地资源的补充，按各乡镇可利用灌木林地、沼泽草地、内陆滩涂等各类辅助饲草资源的总面积占全县总量的比例核定，重点体现各乡镇饲草资源的多样性，兼顾不同区域饲草供给的差异化优势。</w:t>
      </w:r>
    </w:p>
    <w:p w14:paraId="0F09477D">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val="0"/>
          <w:bCs w:val="0"/>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③综合植被盖度因素（权重1</w:t>
      </w:r>
      <w:r>
        <w:rPr>
          <w:rFonts w:hint="default" w:ascii="Times New Roman" w:hAnsi="Times New Roman" w:eastAsia="方正仿宋简体" w:cs="Times New Roman"/>
          <w:b/>
          <w:bCs/>
          <w:sz w:val="32"/>
          <w:szCs w:val="32"/>
          <w:highlight w:val="none"/>
          <w:lang w:val="en-US" w:eastAsia="zh-CN"/>
        </w:rPr>
        <w:t>0</w:t>
      </w:r>
      <w:r>
        <w:rPr>
          <w:rFonts w:hint="eastAsia" w:ascii="Times New Roman" w:hAnsi="Times New Roman" w:eastAsia="方正仿宋简体" w:cs="Times New Roman"/>
          <w:b/>
          <w:bCs/>
          <w:sz w:val="32"/>
          <w:szCs w:val="32"/>
          <w:highlight w:val="none"/>
          <w:lang w:val="en-US" w:eastAsia="zh-CN"/>
        </w:rPr>
        <w:t>%）：</w:t>
      </w:r>
      <w:r>
        <w:rPr>
          <w:rFonts w:hint="eastAsia" w:ascii="Times New Roman" w:hAnsi="Times New Roman" w:eastAsia="方正仿宋简体" w:cs="Times New Roman"/>
          <w:b w:val="0"/>
          <w:bCs w:val="0"/>
          <w:sz w:val="32"/>
          <w:szCs w:val="32"/>
          <w:highlight w:val="none"/>
          <w:lang w:val="en-US" w:eastAsia="zh-CN"/>
        </w:rPr>
        <w:t>作为生态补偿倾斜依据，聚焦生态保护优先原则，按各乡镇天然草原的综合植被盖度（依据草原资源调查或年度监测数据）占全县综合植被盖度总量的比例核定，对植被盖度高、草原生态状况良好的乡镇给予倾斜，体现草原植被覆盖水平的差异，强化生态保护导向。</w:t>
      </w:r>
    </w:p>
    <w:p w14:paraId="03676D31">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④人工种草因素（权重25%）：</w:t>
      </w:r>
      <w:r>
        <w:rPr>
          <w:rFonts w:hint="eastAsia" w:ascii="Times New Roman" w:hAnsi="Times New Roman" w:eastAsia="方正仿宋简体" w:cs="Times New Roman"/>
          <w:b w:val="0"/>
          <w:bCs w:val="0"/>
          <w:sz w:val="32"/>
          <w:szCs w:val="32"/>
          <w:highlight w:val="none"/>
          <w:lang w:val="en-US" w:eastAsia="zh-CN"/>
        </w:rPr>
        <w:t>秉持分解公平、实际导向原则，以各乡镇近5年（2020-2024年）人工种草的平均面积为核心依据，统筹区域发展差异，对年度人工种草产量较高的乡镇适度倾斜权重，推动资源配置与产出效益精准匹配，充分激发群众开展人工种草工作的积极性、主动性。</w:t>
      </w:r>
    </w:p>
    <w:p w14:paraId="4C485FEE">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Theme="minorEastAsia"/>
          <w:highlight w:val="none"/>
          <w:lang w:eastAsia="zh-CN"/>
        </w:rPr>
      </w:pPr>
      <w:r>
        <w:rPr>
          <w:rFonts w:hint="eastAsia" w:ascii="Times New Roman" w:hAnsi="Times New Roman" w:eastAsia="方正仿宋简体" w:cs="Times New Roman"/>
          <w:b/>
          <w:bCs/>
          <w:sz w:val="32"/>
          <w:szCs w:val="32"/>
          <w:highlight w:val="none"/>
          <w:lang w:val="en-US" w:eastAsia="zh-CN"/>
        </w:rPr>
        <w:t>⑤生态保护责任因素（权重5%）：</w:t>
      </w:r>
      <w:r>
        <w:rPr>
          <w:rFonts w:hint="eastAsia" w:ascii="Times New Roman" w:hAnsi="Times New Roman" w:eastAsia="方正仿宋简体" w:cs="Times New Roman"/>
          <w:sz w:val="32"/>
          <w:szCs w:val="32"/>
          <w:highlight w:val="none"/>
          <w:lang w:val="en-US" w:eastAsia="zh-CN"/>
        </w:rPr>
        <w:t>建立承担重要生</w:t>
      </w:r>
      <w:r>
        <w:rPr>
          <w:rFonts w:hint="eastAsia" w:ascii="Times New Roman" w:hAnsi="Times New Roman" w:eastAsia="方正仿宋简体" w:cs="方正仿宋简体"/>
          <w:sz w:val="32"/>
          <w:szCs w:val="32"/>
          <w:highlight w:val="none"/>
          <w:lang w:val="en-US" w:eastAsia="zh-CN"/>
        </w:rPr>
        <w:t>态保护任务区域补偿机制，依据各乡镇禁牧区面积占全县禁牧区总面积的比例测算，对禁牧比例高、生态功能贡献大的乡镇予以显著倾斜，同时，针对历史载畜量核定标准不均衡、乡镇间绵羊单位草场面积差异较大、遗留问题突出等实际情况，重点对历史核定标准偏低、饲养基数稳定、生态压力处于合理范围的乡镇适当倾斜、重点调整，推动全县载畜量核定标准趋于均衡、公平、合理，化解历史遗留矛盾</w:t>
      </w:r>
      <w:r>
        <w:rPr>
          <w:rFonts w:hint="eastAsia" w:ascii="Times New Roman" w:hAnsi="Times New Roman"/>
          <w:highlight w:val="none"/>
          <w:lang w:val="en-US" w:eastAsia="zh-CN"/>
        </w:rPr>
        <w:t>。</w:t>
      </w:r>
    </w:p>
    <w:p w14:paraId="75F88674">
      <w:pPr>
        <w:keepNext w:val="0"/>
        <w:keepLines w:val="0"/>
        <w:pageBreakBefore w:val="0"/>
        <w:widowControl w:val="0"/>
        <w:numPr>
          <w:ilvl w:val="0"/>
          <w:numId w:val="2"/>
        </w:numPr>
        <w:tabs>
          <w:tab w:val="left" w:pos="926"/>
        </w:tabs>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Times New Roman" w:hAnsi="Times New Roman" w:eastAsia="方正仿宋简体" w:cs="方正仿宋简体"/>
          <w:b/>
          <w:bCs/>
          <w:sz w:val="32"/>
          <w:szCs w:val="32"/>
          <w:highlight w:val="none"/>
          <w:lang w:val="en-US" w:eastAsia="zh-CN"/>
        </w:rPr>
      </w:pPr>
      <w:r>
        <w:rPr>
          <w:rFonts w:hint="eastAsia" w:ascii="Times New Roman" w:hAnsi="Times New Roman" w:eastAsia="方正仿宋简体" w:cs="方正仿宋简体"/>
          <w:b/>
          <w:bCs/>
          <w:sz w:val="32"/>
          <w:szCs w:val="32"/>
          <w:highlight w:val="none"/>
          <w:lang w:val="en-US" w:eastAsia="zh-CN"/>
        </w:rPr>
        <w:t>计算公式</w:t>
      </w:r>
    </w:p>
    <w:p w14:paraId="1B25FFE0">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①</w:t>
      </w:r>
      <w:r>
        <w:rPr>
          <w:rFonts w:hint="default" w:ascii="Times New Roman" w:hAnsi="Times New Roman" w:eastAsia="方正仿宋简体" w:cs="Times New Roman"/>
          <w:b/>
          <w:bCs/>
          <w:sz w:val="32"/>
          <w:szCs w:val="32"/>
          <w:highlight w:val="none"/>
          <w:lang w:val="en-US" w:eastAsia="zh-CN"/>
        </w:rPr>
        <w:t>计算各乡镇单项因素相对得分（因子值）</w:t>
      </w:r>
    </w:p>
    <w:p w14:paraId="43A9CACD">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计算公式为：因子值=该乡镇该项指标值/全县该项指标总值。</w:t>
      </w:r>
    </w:p>
    <w:p w14:paraId="37A800B5">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②</w:t>
      </w:r>
      <w:r>
        <w:rPr>
          <w:rFonts w:hint="default" w:ascii="Times New Roman" w:hAnsi="Times New Roman" w:eastAsia="方正仿宋简体" w:cs="Times New Roman"/>
          <w:b/>
          <w:bCs/>
          <w:sz w:val="32"/>
          <w:szCs w:val="32"/>
          <w:highlight w:val="none"/>
          <w:lang w:val="en-US" w:eastAsia="zh-CN"/>
        </w:rPr>
        <w:t>计算各乡镇综合得分</w:t>
      </w:r>
    </w:p>
    <w:p w14:paraId="314E53DE">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综合得分=（</w:t>
      </w:r>
      <w:r>
        <w:rPr>
          <w:rFonts w:hint="eastAsia" w:ascii="Times New Roman" w:hAnsi="Times New Roman" w:eastAsia="方正仿宋简体" w:cs="方正仿宋简体"/>
          <w:sz w:val="32"/>
          <w:szCs w:val="32"/>
          <w:highlight w:val="none"/>
          <w:lang w:val="en-US" w:eastAsia="zh-CN"/>
        </w:rPr>
        <w:t>可牧业利用天然草地因子值</w:t>
      </w:r>
      <w:r>
        <w:rPr>
          <w:rFonts w:hint="default" w:ascii="Times New Roman" w:hAnsi="Times New Roman" w:eastAsia="方正仿宋简体" w:cs="Times New Roman"/>
          <w:sz w:val="32"/>
          <w:szCs w:val="32"/>
          <w:highlight w:val="none"/>
          <w:lang w:val="en-US" w:eastAsia="zh-CN"/>
        </w:rPr>
        <w:t>×</w:t>
      </w:r>
      <w:r>
        <w:rPr>
          <w:rFonts w:hint="eastAsia" w:ascii="Times New Roman" w:hAnsi="Times New Roman" w:eastAsia="方正仿宋简体" w:cs="Times New Roman"/>
          <w:sz w:val="32"/>
          <w:szCs w:val="32"/>
          <w:highlight w:val="none"/>
          <w:lang w:val="en-US" w:eastAsia="zh-CN"/>
        </w:rPr>
        <w:t>40</w:t>
      </w:r>
      <w:r>
        <w:rPr>
          <w:rFonts w:hint="default" w:ascii="Times New Roman" w:hAnsi="Times New Roman" w:eastAsia="方正仿宋简体" w:cs="Times New Roman"/>
          <w:sz w:val="32"/>
          <w:szCs w:val="32"/>
          <w:highlight w:val="none"/>
          <w:lang w:val="en-US" w:eastAsia="zh-CN"/>
        </w:rPr>
        <w:t>%）+（</w:t>
      </w:r>
      <w:r>
        <w:rPr>
          <w:rFonts w:hint="eastAsia" w:ascii="Times New Roman" w:hAnsi="Times New Roman" w:eastAsia="方正仿宋简体" w:cs="方正仿宋简体"/>
          <w:sz w:val="32"/>
          <w:szCs w:val="32"/>
          <w:highlight w:val="none"/>
          <w:lang w:val="en-US" w:eastAsia="zh-CN"/>
        </w:rPr>
        <w:t>可牧业利用其他草资源</w:t>
      </w:r>
      <w:r>
        <w:rPr>
          <w:rFonts w:hint="default" w:ascii="Times New Roman" w:hAnsi="Times New Roman" w:eastAsia="方正仿宋简体" w:cs="Times New Roman"/>
          <w:sz w:val="32"/>
          <w:szCs w:val="32"/>
          <w:highlight w:val="none"/>
          <w:lang w:val="en-US" w:eastAsia="zh-CN"/>
        </w:rPr>
        <w:t>×</w:t>
      </w:r>
      <w:r>
        <w:rPr>
          <w:rFonts w:hint="eastAsia" w:ascii="Times New Roman" w:hAnsi="Times New Roman" w:eastAsia="方正仿宋简体" w:cs="Times New Roman"/>
          <w:sz w:val="32"/>
          <w:szCs w:val="32"/>
          <w:highlight w:val="none"/>
          <w:lang w:val="en-US" w:eastAsia="zh-CN"/>
        </w:rPr>
        <w:t>20</w:t>
      </w:r>
      <w:r>
        <w:rPr>
          <w:rFonts w:hint="default" w:ascii="Times New Roman" w:hAnsi="Times New Roman" w:eastAsia="方正仿宋简体" w:cs="Times New Roman"/>
          <w:sz w:val="32"/>
          <w:szCs w:val="32"/>
          <w:highlight w:val="none"/>
          <w:lang w:val="en-US" w:eastAsia="zh-CN"/>
        </w:rPr>
        <w:t>%）+（</w:t>
      </w:r>
      <w:r>
        <w:rPr>
          <w:rFonts w:hint="eastAsia" w:ascii="Times New Roman" w:hAnsi="Times New Roman" w:eastAsia="方正仿宋简体" w:cs="方正仿宋简体"/>
          <w:sz w:val="32"/>
          <w:szCs w:val="32"/>
          <w:highlight w:val="none"/>
          <w:lang w:val="en-US" w:eastAsia="zh-CN"/>
        </w:rPr>
        <w:t>综合植被盖度因子值</w:t>
      </w:r>
      <w:r>
        <w:rPr>
          <w:rFonts w:hint="default" w:ascii="Times New Roman" w:hAnsi="Times New Roman" w:eastAsia="方正仿宋简体" w:cs="Times New Roman"/>
          <w:sz w:val="32"/>
          <w:szCs w:val="32"/>
          <w:highlight w:val="none"/>
          <w:lang w:val="en-US" w:eastAsia="zh-CN"/>
        </w:rPr>
        <w:t>×</w:t>
      </w:r>
      <w:r>
        <w:rPr>
          <w:rFonts w:hint="eastAsia" w:ascii="Times New Roman" w:hAnsi="Times New Roman" w:eastAsia="方正仿宋简体" w:cs="Times New Roman"/>
          <w:sz w:val="32"/>
          <w:szCs w:val="32"/>
          <w:highlight w:val="none"/>
          <w:lang w:val="en-US" w:eastAsia="zh-CN"/>
        </w:rPr>
        <w:t>10</w:t>
      </w:r>
      <w:r>
        <w:rPr>
          <w:rFonts w:hint="default" w:ascii="Times New Roman" w:hAnsi="Times New Roman" w:eastAsia="方正仿宋简体" w:cs="Times New Roman"/>
          <w:sz w:val="32"/>
          <w:szCs w:val="32"/>
          <w:highlight w:val="none"/>
          <w:lang w:val="en-US" w:eastAsia="zh-CN"/>
        </w:rPr>
        <w:t>%）+（</w:t>
      </w:r>
      <w:r>
        <w:rPr>
          <w:rFonts w:hint="eastAsia" w:ascii="Times New Roman" w:hAnsi="Times New Roman" w:eastAsia="方正仿宋简体" w:cs="Times New Roman"/>
          <w:sz w:val="32"/>
          <w:szCs w:val="32"/>
          <w:highlight w:val="none"/>
          <w:lang w:val="en-US" w:eastAsia="zh-CN"/>
        </w:rPr>
        <w:t>人工种草</w:t>
      </w:r>
      <w:r>
        <w:rPr>
          <w:rFonts w:hint="default" w:ascii="Times New Roman" w:hAnsi="Times New Roman" w:eastAsia="方正仿宋简体" w:cs="Times New Roman"/>
          <w:sz w:val="32"/>
          <w:szCs w:val="32"/>
          <w:highlight w:val="none"/>
          <w:lang w:val="en-US" w:eastAsia="zh-CN"/>
        </w:rPr>
        <w:t>因子值×</w:t>
      </w:r>
      <w:r>
        <w:rPr>
          <w:rFonts w:hint="eastAsia"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lang w:val="en-US" w:eastAsia="zh-CN"/>
        </w:rPr>
        <w:t>5%）+（生态保护责任因子值×</w:t>
      </w:r>
      <w:r>
        <w:rPr>
          <w:rFonts w:hint="eastAsia" w:ascii="Times New Roman" w:hAnsi="Times New Roman" w:eastAsia="方正仿宋简体" w:cs="Times New Roman"/>
          <w:sz w:val="32"/>
          <w:szCs w:val="32"/>
          <w:highlight w:val="none"/>
          <w:lang w:val="en-US" w:eastAsia="zh-CN"/>
        </w:rPr>
        <w:t>5</w:t>
      </w:r>
      <w:r>
        <w:rPr>
          <w:rFonts w:hint="default" w:ascii="Times New Roman" w:hAnsi="Times New Roman" w:eastAsia="方正仿宋简体" w:cs="Times New Roman"/>
          <w:sz w:val="32"/>
          <w:szCs w:val="32"/>
          <w:highlight w:val="none"/>
          <w:lang w:val="en-US" w:eastAsia="zh-CN"/>
        </w:rPr>
        <w:t>%））。</w:t>
      </w:r>
    </w:p>
    <w:p w14:paraId="37E7D8B1">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③</w:t>
      </w:r>
      <w:r>
        <w:rPr>
          <w:rFonts w:hint="default" w:ascii="Times New Roman" w:hAnsi="Times New Roman" w:eastAsia="方正仿宋简体" w:cs="Times New Roman"/>
          <w:b/>
          <w:bCs/>
          <w:sz w:val="32"/>
          <w:szCs w:val="32"/>
          <w:highlight w:val="none"/>
          <w:lang w:val="en-US" w:eastAsia="zh-CN"/>
        </w:rPr>
        <w:t>计算各乡镇</w:t>
      </w:r>
      <w:r>
        <w:rPr>
          <w:rFonts w:hint="eastAsia" w:ascii="Times New Roman" w:hAnsi="Times New Roman" w:eastAsia="方正仿宋简体" w:cs="Times New Roman"/>
          <w:b/>
          <w:bCs/>
          <w:sz w:val="32"/>
          <w:szCs w:val="32"/>
          <w:highlight w:val="none"/>
          <w:lang w:val="en-US" w:eastAsia="zh-CN"/>
        </w:rPr>
        <w:t>分解</w:t>
      </w:r>
      <w:r>
        <w:rPr>
          <w:rFonts w:hint="default" w:ascii="Times New Roman" w:hAnsi="Times New Roman" w:eastAsia="方正仿宋简体" w:cs="Times New Roman"/>
          <w:b/>
          <w:bCs/>
          <w:sz w:val="32"/>
          <w:szCs w:val="32"/>
          <w:highlight w:val="none"/>
          <w:lang w:val="en-US" w:eastAsia="zh-CN"/>
        </w:rPr>
        <w:t>增加量</w:t>
      </w:r>
    </w:p>
    <w:p w14:paraId="7EAF9154">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某乡镇</w:t>
      </w:r>
      <w:r>
        <w:rPr>
          <w:rFonts w:hint="eastAsia" w:ascii="Times New Roman" w:hAnsi="Times New Roman" w:eastAsia="方正仿宋简体" w:cs="Times New Roman"/>
          <w:sz w:val="32"/>
          <w:szCs w:val="32"/>
          <w:highlight w:val="none"/>
          <w:lang w:val="en-US" w:eastAsia="zh-CN"/>
        </w:rPr>
        <w:t>分解</w:t>
      </w:r>
      <w:r>
        <w:rPr>
          <w:rFonts w:hint="default" w:ascii="Times New Roman" w:hAnsi="Times New Roman" w:eastAsia="方正仿宋简体" w:cs="Times New Roman"/>
          <w:sz w:val="32"/>
          <w:szCs w:val="32"/>
          <w:highlight w:val="none"/>
          <w:lang w:val="en-US" w:eastAsia="zh-CN"/>
        </w:rPr>
        <w:t>增加量=</w:t>
      </w:r>
      <w:r>
        <w:rPr>
          <w:rFonts w:hint="eastAsia" w:ascii="Times New Roman" w:hAnsi="Times New Roman" w:eastAsia="方正仿宋简体" w:cs="Times New Roman"/>
          <w:sz w:val="32"/>
          <w:szCs w:val="32"/>
          <w:highlight w:val="none"/>
          <w:lang w:eastAsia="zh-CN"/>
        </w:rPr>
        <w:t>317704.99</w:t>
      </w:r>
      <w:r>
        <w:rPr>
          <w:rFonts w:hint="default" w:ascii="Times New Roman" w:hAnsi="Times New Roman" w:eastAsia="方正仿宋简体" w:cs="Times New Roman"/>
          <w:sz w:val="32"/>
          <w:szCs w:val="32"/>
          <w:highlight w:val="none"/>
          <w:lang w:val="en-US" w:eastAsia="zh-CN"/>
        </w:rPr>
        <w:t>绵羊单位×该乡镇综合得分。</w:t>
      </w:r>
    </w:p>
    <w:p w14:paraId="70341F96">
      <w:pPr>
        <w:keepNext w:val="0"/>
        <w:keepLines w:val="0"/>
        <w:pageBreakBefore w:val="0"/>
        <w:widowControl w:val="0"/>
        <w:numPr>
          <w:ilvl w:val="0"/>
          <w:numId w:val="0"/>
        </w:numPr>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简体" w:cs="方正楷体简体"/>
          <w:sz w:val="32"/>
          <w:szCs w:val="32"/>
          <w:highlight w:val="none"/>
          <w:lang w:val="en-US" w:eastAsia="zh-CN"/>
        </w:rPr>
      </w:pPr>
      <w:r>
        <w:rPr>
          <w:rFonts w:hint="eastAsia" w:ascii="Times New Roman" w:hAnsi="Times New Roman" w:eastAsia="方正楷体简体" w:cs="方正楷体简体"/>
          <w:sz w:val="32"/>
          <w:szCs w:val="32"/>
          <w:highlight w:val="none"/>
          <w:lang w:val="en-US" w:eastAsia="zh-CN"/>
        </w:rPr>
        <w:t>（二）村级分解方法</w:t>
      </w:r>
    </w:p>
    <w:p w14:paraId="04C3D576">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简体" w:cs="方正仿宋简体"/>
          <w:b/>
          <w:bCs/>
          <w:sz w:val="32"/>
          <w:szCs w:val="32"/>
          <w:highlight w:val="none"/>
          <w:lang w:eastAsia="zh-CN"/>
        </w:rPr>
      </w:pPr>
      <w:r>
        <w:rPr>
          <w:rFonts w:hint="eastAsia" w:ascii="Times New Roman" w:hAnsi="Times New Roman" w:eastAsia="方正仿宋简体" w:cs="方正仿宋简体"/>
          <w:b/>
          <w:bCs/>
          <w:sz w:val="32"/>
          <w:szCs w:val="32"/>
          <w:highlight w:val="none"/>
          <w:lang w:val="en-US" w:eastAsia="zh-CN"/>
        </w:rPr>
        <w:t xml:space="preserve"> 1. </w:t>
      </w:r>
      <w:r>
        <w:rPr>
          <w:rFonts w:hint="eastAsia" w:ascii="Times New Roman" w:hAnsi="Times New Roman" w:eastAsia="方正仿宋简体" w:cs="方正仿宋简体"/>
          <w:b/>
          <w:bCs/>
          <w:sz w:val="32"/>
          <w:szCs w:val="32"/>
          <w:highlight w:val="none"/>
          <w:lang w:eastAsia="zh-CN"/>
        </w:rPr>
        <w:t>村级草地载畜量核定成果采用占比分解法逐级分解</w:t>
      </w:r>
    </w:p>
    <w:p w14:paraId="482F23CB">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简体" w:cs="方正仿宋简体"/>
          <w:sz w:val="32"/>
          <w:szCs w:val="32"/>
          <w:highlight w:val="none"/>
          <w:lang w:eastAsia="zh-CN"/>
        </w:rPr>
      </w:pPr>
      <w:r>
        <w:rPr>
          <w:rFonts w:hint="eastAsia" w:ascii="Times New Roman" w:hAnsi="Times New Roman" w:eastAsia="方正仿宋简体" w:cs="方正仿宋简体"/>
          <w:sz w:val="32"/>
          <w:szCs w:val="32"/>
          <w:highlight w:val="none"/>
          <w:lang w:eastAsia="zh-CN"/>
        </w:rPr>
        <w:t>以各村第三轮载畜量占所在乡镇总载畜量的权重为基准，结合乡镇本轮核定优化后的草地载畜量新增总量，按原有占比同比例分摊，确定各村草地载畜量提升额度。</w:t>
      </w:r>
    </w:p>
    <w:p w14:paraId="6D39BFEE">
      <w:pPr>
        <w:keepNext w:val="0"/>
        <w:keepLines w:val="0"/>
        <w:pageBreakBefore w:val="0"/>
        <w:widowControl w:val="0"/>
        <w:numPr>
          <w:ilvl w:val="0"/>
          <w:numId w:val="3"/>
        </w:numPr>
        <w:tabs>
          <w:tab w:val="left" w:pos="926"/>
        </w:tabs>
        <w:kinsoku/>
        <w:wordWrap/>
        <w:overflowPunct/>
        <w:topLinePunct w:val="0"/>
        <w:autoSpaceDE/>
        <w:autoSpaceDN/>
        <w:bidi w:val="0"/>
        <w:adjustRightInd/>
        <w:snapToGrid/>
        <w:spacing w:line="560" w:lineRule="exact"/>
        <w:ind w:left="420" w:leftChars="200" w:firstLine="321" w:firstLineChars="100"/>
        <w:jc w:val="left"/>
        <w:textAlignment w:val="auto"/>
        <w:rPr>
          <w:rFonts w:hint="eastAsia" w:ascii="Times New Roman" w:hAnsi="Times New Roman" w:eastAsia="方正仿宋简体" w:cs="方正仿宋简体"/>
          <w:b/>
          <w:bCs/>
          <w:sz w:val="32"/>
          <w:szCs w:val="32"/>
          <w:highlight w:val="none"/>
          <w:lang w:eastAsia="zh-CN"/>
        </w:rPr>
      </w:pPr>
      <w:r>
        <w:rPr>
          <w:rFonts w:hint="eastAsia" w:ascii="Times New Roman" w:hAnsi="Times New Roman" w:eastAsia="方正仿宋简体" w:cs="方正仿宋简体"/>
          <w:b/>
          <w:bCs/>
          <w:sz w:val="32"/>
          <w:szCs w:val="32"/>
          <w:highlight w:val="none"/>
          <w:lang w:eastAsia="zh-CN"/>
        </w:rPr>
        <w:t>计算公式</w:t>
      </w:r>
    </w:p>
    <w:p w14:paraId="07009BD4">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简体" w:cs="方正仿宋简体"/>
          <w:sz w:val="32"/>
          <w:szCs w:val="32"/>
          <w:highlight w:val="none"/>
          <w:lang w:val="en-US" w:eastAsia="zh-CN"/>
        </w:rPr>
      </w:pPr>
      <w:r>
        <w:rPr>
          <w:rFonts w:hint="eastAsia" w:ascii="Times New Roman" w:hAnsi="Times New Roman" w:eastAsia="方正仿宋简体" w:cs="方正仿宋简体"/>
          <w:sz w:val="32"/>
          <w:szCs w:val="32"/>
          <w:highlight w:val="none"/>
          <w:lang w:eastAsia="zh-CN"/>
        </w:rPr>
        <w:t>某村载畜量分解增加量=所在乡镇载畜量总增加量×该村第三轮载畜量占乡镇总载畜量比重。</w:t>
      </w:r>
    </w:p>
    <w:p w14:paraId="2DE1C233">
      <w:pPr>
        <w:keepNext w:val="0"/>
        <w:keepLines w:val="0"/>
        <w:pageBreakBefore w:val="0"/>
        <w:widowControl w:val="0"/>
        <w:numPr>
          <w:ilvl w:val="0"/>
          <w:numId w:val="0"/>
        </w:numPr>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楷体简体" w:cs="方正楷体简体"/>
          <w:sz w:val="32"/>
          <w:szCs w:val="32"/>
          <w:highlight w:val="none"/>
          <w:lang w:val="en-US" w:eastAsia="zh-CN"/>
        </w:rPr>
      </w:pPr>
      <w:r>
        <w:rPr>
          <w:rFonts w:hint="eastAsia" w:ascii="Times New Roman" w:hAnsi="Times New Roman" w:eastAsia="方正楷体简体" w:cs="方正楷体简体"/>
          <w:sz w:val="32"/>
          <w:szCs w:val="32"/>
          <w:highlight w:val="none"/>
          <w:lang w:val="en-US" w:eastAsia="zh-CN"/>
        </w:rPr>
        <w:t>（三）户级分解方法</w:t>
      </w:r>
    </w:p>
    <w:p w14:paraId="1F73BB5D">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方正仿宋简体"/>
          <w:b/>
          <w:bCs/>
          <w:sz w:val="32"/>
          <w:szCs w:val="32"/>
          <w:highlight w:val="none"/>
          <w:lang w:val="en-US" w:eastAsia="zh-CN"/>
        </w:rPr>
      </w:pPr>
      <w:r>
        <w:rPr>
          <w:rFonts w:hint="eastAsia" w:ascii="Times New Roman" w:hAnsi="Times New Roman" w:eastAsia="方正仿宋简体" w:cs="方正仿宋简体"/>
          <w:b/>
          <w:bCs/>
          <w:sz w:val="32"/>
          <w:szCs w:val="32"/>
          <w:highlight w:val="none"/>
          <w:lang w:val="en-US" w:eastAsia="zh-CN"/>
        </w:rPr>
        <w:t>1. 户</w:t>
      </w:r>
      <w:r>
        <w:rPr>
          <w:rFonts w:hint="eastAsia" w:ascii="Times New Roman" w:hAnsi="Times New Roman" w:eastAsia="方正仿宋简体" w:cs="方正仿宋简体"/>
          <w:b/>
          <w:bCs/>
          <w:sz w:val="32"/>
          <w:szCs w:val="32"/>
          <w:highlight w:val="none"/>
          <w:lang w:eastAsia="zh-CN"/>
        </w:rPr>
        <w:t>级草地载畜量核定成果</w:t>
      </w:r>
      <w:r>
        <w:rPr>
          <w:rFonts w:hint="eastAsia" w:ascii="Times New Roman" w:hAnsi="Times New Roman" w:eastAsia="方正仿宋简体" w:cs="方正仿宋简体"/>
          <w:b/>
          <w:bCs/>
          <w:sz w:val="32"/>
          <w:szCs w:val="32"/>
          <w:highlight w:val="none"/>
          <w:lang w:val="en-US" w:eastAsia="zh-CN"/>
        </w:rPr>
        <w:t>同样</w:t>
      </w:r>
      <w:r>
        <w:rPr>
          <w:rFonts w:hint="eastAsia" w:ascii="Times New Roman" w:hAnsi="Times New Roman" w:eastAsia="方正仿宋简体" w:cs="方正仿宋简体"/>
          <w:b/>
          <w:bCs/>
          <w:sz w:val="32"/>
          <w:szCs w:val="32"/>
          <w:highlight w:val="none"/>
          <w:lang w:eastAsia="zh-CN"/>
        </w:rPr>
        <w:t>采用占比分解法逐级分</w:t>
      </w:r>
      <w:r>
        <w:rPr>
          <w:rFonts w:hint="eastAsia" w:ascii="Times New Roman" w:hAnsi="Times New Roman" w:eastAsia="方正仿宋简体" w:cs="方正仿宋简体"/>
          <w:b/>
          <w:bCs/>
          <w:sz w:val="32"/>
          <w:szCs w:val="32"/>
          <w:highlight w:val="none"/>
          <w:lang w:val="en-US" w:eastAsia="zh-CN"/>
        </w:rPr>
        <w:t>解</w:t>
      </w:r>
    </w:p>
    <w:p w14:paraId="0DD74BB4">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简体" w:cs="方正仿宋简体"/>
          <w:sz w:val="32"/>
          <w:szCs w:val="32"/>
          <w:highlight w:val="none"/>
          <w:lang w:eastAsia="zh-CN"/>
        </w:rPr>
      </w:pPr>
      <w:r>
        <w:rPr>
          <w:rFonts w:hint="eastAsia" w:ascii="Times New Roman" w:hAnsi="Times New Roman" w:eastAsia="方正仿宋简体" w:cs="方正仿宋简体"/>
          <w:sz w:val="32"/>
          <w:szCs w:val="32"/>
          <w:highlight w:val="none"/>
          <w:lang w:eastAsia="zh-CN"/>
        </w:rPr>
        <w:t>以各</w:t>
      </w:r>
      <w:r>
        <w:rPr>
          <w:rFonts w:hint="eastAsia" w:ascii="Times New Roman" w:hAnsi="Times New Roman" w:eastAsia="方正仿宋简体" w:cs="方正仿宋简体"/>
          <w:sz w:val="32"/>
          <w:szCs w:val="32"/>
          <w:highlight w:val="none"/>
          <w:lang w:val="en-US" w:eastAsia="zh-CN"/>
        </w:rPr>
        <w:t>户</w:t>
      </w:r>
      <w:r>
        <w:rPr>
          <w:rFonts w:hint="eastAsia" w:ascii="Times New Roman" w:hAnsi="Times New Roman" w:eastAsia="方正仿宋简体" w:cs="方正仿宋简体"/>
          <w:sz w:val="32"/>
          <w:szCs w:val="32"/>
          <w:highlight w:val="none"/>
          <w:lang w:eastAsia="zh-CN"/>
        </w:rPr>
        <w:t>第三轮载畜量占所在</w:t>
      </w:r>
      <w:r>
        <w:rPr>
          <w:rFonts w:hint="eastAsia" w:ascii="Times New Roman" w:hAnsi="Times New Roman" w:eastAsia="方正仿宋简体" w:cs="方正仿宋简体"/>
          <w:sz w:val="32"/>
          <w:szCs w:val="32"/>
          <w:highlight w:val="none"/>
          <w:lang w:val="en-US" w:eastAsia="zh-CN"/>
        </w:rPr>
        <w:t>村</w:t>
      </w:r>
      <w:r>
        <w:rPr>
          <w:rFonts w:hint="eastAsia" w:ascii="Times New Roman" w:hAnsi="Times New Roman" w:eastAsia="方正仿宋简体" w:cs="方正仿宋简体"/>
          <w:sz w:val="32"/>
          <w:szCs w:val="32"/>
          <w:highlight w:val="none"/>
          <w:lang w:eastAsia="zh-CN"/>
        </w:rPr>
        <w:t>总载畜量的权重为基准，结合</w:t>
      </w:r>
      <w:r>
        <w:rPr>
          <w:rFonts w:hint="eastAsia" w:ascii="Times New Roman" w:hAnsi="Times New Roman" w:eastAsia="方正仿宋简体" w:cs="方正仿宋简体"/>
          <w:sz w:val="32"/>
          <w:szCs w:val="32"/>
          <w:highlight w:val="none"/>
          <w:lang w:val="en-US" w:eastAsia="zh-CN"/>
        </w:rPr>
        <w:t>该村</w:t>
      </w:r>
      <w:r>
        <w:rPr>
          <w:rFonts w:hint="eastAsia" w:ascii="Times New Roman" w:hAnsi="Times New Roman" w:eastAsia="方正仿宋简体" w:cs="方正仿宋简体"/>
          <w:sz w:val="32"/>
          <w:szCs w:val="32"/>
          <w:highlight w:val="none"/>
          <w:lang w:eastAsia="zh-CN"/>
        </w:rPr>
        <w:t>本轮核定优化后的草地载畜量新增总量，按原有占比同比例分摊，确定各</w:t>
      </w:r>
      <w:r>
        <w:rPr>
          <w:rFonts w:hint="eastAsia" w:ascii="Times New Roman" w:hAnsi="Times New Roman" w:eastAsia="方正仿宋简体" w:cs="方正仿宋简体"/>
          <w:sz w:val="32"/>
          <w:szCs w:val="32"/>
          <w:highlight w:val="none"/>
          <w:lang w:val="en-US" w:eastAsia="zh-CN"/>
        </w:rPr>
        <w:t>户</w:t>
      </w:r>
      <w:r>
        <w:rPr>
          <w:rFonts w:hint="eastAsia" w:ascii="Times New Roman" w:hAnsi="Times New Roman" w:eastAsia="方正仿宋简体" w:cs="方正仿宋简体"/>
          <w:sz w:val="32"/>
          <w:szCs w:val="32"/>
          <w:highlight w:val="none"/>
          <w:lang w:eastAsia="zh-CN"/>
        </w:rPr>
        <w:t>草地载畜量提升额度。</w:t>
      </w:r>
    </w:p>
    <w:p w14:paraId="3AF8FEC3">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简体" w:cs="方正仿宋简体"/>
          <w:b/>
          <w:bCs/>
          <w:sz w:val="32"/>
          <w:szCs w:val="32"/>
          <w:highlight w:val="none"/>
          <w:lang w:eastAsia="zh-CN"/>
        </w:rPr>
      </w:pPr>
      <w:r>
        <w:rPr>
          <w:rFonts w:hint="eastAsia" w:ascii="Times New Roman" w:hAnsi="Times New Roman" w:eastAsia="方正仿宋简体" w:cs="方正仿宋简体"/>
          <w:b/>
          <w:bCs/>
          <w:sz w:val="32"/>
          <w:szCs w:val="32"/>
          <w:highlight w:val="none"/>
          <w:lang w:val="en-US" w:eastAsia="zh-CN"/>
        </w:rPr>
        <w:t xml:space="preserve">2. </w:t>
      </w:r>
      <w:r>
        <w:rPr>
          <w:rFonts w:hint="eastAsia" w:ascii="Times New Roman" w:hAnsi="Times New Roman" w:eastAsia="方正仿宋简体" w:cs="方正仿宋简体"/>
          <w:b/>
          <w:bCs/>
          <w:sz w:val="32"/>
          <w:szCs w:val="32"/>
          <w:highlight w:val="none"/>
          <w:lang w:eastAsia="zh-CN"/>
        </w:rPr>
        <w:t>计算公式</w:t>
      </w:r>
    </w:p>
    <w:p w14:paraId="18C85480">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方正仿宋简体"/>
          <w:sz w:val="32"/>
          <w:szCs w:val="32"/>
          <w:highlight w:val="none"/>
          <w:lang w:eastAsia="zh-CN"/>
        </w:rPr>
        <w:t>某</w:t>
      </w:r>
      <w:r>
        <w:rPr>
          <w:rFonts w:hint="eastAsia" w:ascii="Times New Roman" w:hAnsi="Times New Roman" w:eastAsia="方正仿宋简体" w:cs="方正仿宋简体"/>
          <w:sz w:val="32"/>
          <w:szCs w:val="32"/>
          <w:highlight w:val="none"/>
          <w:lang w:val="en-US" w:eastAsia="zh-CN"/>
        </w:rPr>
        <w:t>户</w:t>
      </w:r>
      <w:r>
        <w:rPr>
          <w:rFonts w:hint="eastAsia" w:ascii="Times New Roman" w:hAnsi="Times New Roman" w:eastAsia="方正仿宋简体" w:cs="方正仿宋简体"/>
          <w:sz w:val="32"/>
          <w:szCs w:val="32"/>
          <w:highlight w:val="none"/>
          <w:lang w:eastAsia="zh-CN"/>
        </w:rPr>
        <w:t>载畜量分解增加量=所在</w:t>
      </w:r>
      <w:r>
        <w:rPr>
          <w:rFonts w:hint="eastAsia" w:ascii="Times New Roman" w:hAnsi="Times New Roman" w:eastAsia="方正仿宋简体" w:cs="方正仿宋简体"/>
          <w:sz w:val="32"/>
          <w:szCs w:val="32"/>
          <w:highlight w:val="none"/>
          <w:lang w:val="en-US" w:eastAsia="zh-CN"/>
        </w:rPr>
        <w:t>村</w:t>
      </w:r>
      <w:r>
        <w:rPr>
          <w:rFonts w:hint="eastAsia" w:ascii="Times New Roman" w:hAnsi="Times New Roman" w:eastAsia="方正仿宋简体" w:cs="方正仿宋简体"/>
          <w:sz w:val="32"/>
          <w:szCs w:val="32"/>
          <w:highlight w:val="none"/>
          <w:lang w:eastAsia="zh-CN"/>
        </w:rPr>
        <w:t>载畜量总增加量×该</w:t>
      </w:r>
      <w:r>
        <w:rPr>
          <w:rFonts w:hint="eastAsia" w:ascii="Times New Roman" w:hAnsi="Times New Roman" w:eastAsia="方正仿宋简体" w:cs="方正仿宋简体"/>
          <w:sz w:val="32"/>
          <w:szCs w:val="32"/>
          <w:highlight w:val="none"/>
          <w:lang w:val="en-US" w:eastAsia="zh-CN"/>
        </w:rPr>
        <w:t>户</w:t>
      </w:r>
      <w:r>
        <w:rPr>
          <w:rFonts w:hint="eastAsia" w:ascii="Times New Roman" w:hAnsi="Times New Roman" w:eastAsia="方正仿宋简体" w:cs="方正仿宋简体"/>
          <w:sz w:val="32"/>
          <w:szCs w:val="32"/>
          <w:highlight w:val="none"/>
          <w:lang w:eastAsia="zh-CN"/>
        </w:rPr>
        <w:t>第三轮载畜量占</w:t>
      </w:r>
      <w:r>
        <w:rPr>
          <w:rFonts w:hint="eastAsia" w:ascii="Times New Roman" w:hAnsi="Times New Roman" w:eastAsia="方正仿宋简体" w:cs="方正仿宋简体"/>
          <w:sz w:val="32"/>
          <w:szCs w:val="32"/>
          <w:highlight w:val="none"/>
          <w:lang w:val="en-US" w:eastAsia="zh-CN"/>
        </w:rPr>
        <w:t>村</w:t>
      </w:r>
      <w:r>
        <w:rPr>
          <w:rFonts w:hint="eastAsia" w:ascii="Times New Roman" w:hAnsi="Times New Roman" w:eastAsia="方正仿宋简体" w:cs="方正仿宋简体"/>
          <w:sz w:val="32"/>
          <w:szCs w:val="32"/>
          <w:highlight w:val="none"/>
          <w:lang w:eastAsia="zh-CN"/>
        </w:rPr>
        <w:t>总载畜量比重。</w:t>
      </w:r>
    </w:p>
    <w:p w14:paraId="7D7EDF59">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简体" w:cs="方正仿宋简体"/>
          <w:sz w:val="32"/>
          <w:szCs w:val="32"/>
          <w:highlight w:val="none"/>
          <w:lang w:eastAsia="zh-CN"/>
        </w:rPr>
      </w:pPr>
    </w:p>
    <w:p w14:paraId="423F4CE4">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方正仿宋简体" w:cs="方正仿宋简体"/>
          <w:sz w:val="32"/>
          <w:szCs w:val="32"/>
          <w:highlight w:val="none"/>
          <w:lang w:val="en-US" w:eastAsia="zh-CN"/>
        </w:rPr>
      </w:pPr>
    </w:p>
    <w:p w14:paraId="55019C39">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方正仿宋简体" w:cs="方正仿宋简体"/>
          <w:sz w:val="32"/>
          <w:szCs w:val="32"/>
          <w:highlight w:val="none"/>
          <w:lang w:val="en-US" w:eastAsia="zh-CN"/>
        </w:rPr>
      </w:pPr>
    </w:p>
    <w:p w14:paraId="50BB6245">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方正仿宋简体" w:cs="方正仿宋简体"/>
          <w:sz w:val="32"/>
          <w:szCs w:val="32"/>
          <w:highlight w:val="none"/>
          <w:lang w:val="en-US" w:eastAsia="zh-CN"/>
        </w:rPr>
      </w:pPr>
      <w:r>
        <w:rPr>
          <w:rFonts w:hint="eastAsia" w:ascii="Times New Roman" w:hAnsi="Times New Roman" w:eastAsia="方正仿宋简体" w:cs="方正仿宋简体"/>
          <w:sz w:val="32"/>
          <w:szCs w:val="32"/>
          <w:highlight w:val="none"/>
          <w:lang w:val="en-US" w:eastAsia="zh-CN"/>
        </w:rPr>
        <w:t xml:space="preserve">                  嘉黎县自然资源和林业草原局                       </w:t>
      </w:r>
    </w:p>
    <w:p w14:paraId="16969159">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方正仿宋简体" w:cs="方正仿宋简体"/>
          <w:sz w:val="32"/>
          <w:szCs w:val="32"/>
          <w:highlight w:val="none"/>
          <w:lang w:val="en-US" w:eastAsia="zh-CN"/>
        </w:rPr>
      </w:pPr>
      <w:r>
        <w:rPr>
          <w:rFonts w:hint="eastAsia" w:ascii="Times New Roman" w:hAnsi="Times New Roman" w:eastAsia="方正仿宋简体" w:cs="方正仿宋简体"/>
          <w:sz w:val="32"/>
          <w:szCs w:val="32"/>
          <w:highlight w:val="none"/>
          <w:lang w:val="en-US" w:eastAsia="zh-CN"/>
        </w:rPr>
        <w:t xml:space="preserve">                   2026年6月4日</w:t>
      </w:r>
    </w:p>
    <w:p w14:paraId="2DDA1BE2">
      <w:pPr>
        <w:keepNext w:val="0"/>
        <w:keepLines w:val="0"/>
        <w:pageBreakBefore w:val="0"/>
        <w:widowControl w:val="0"/>
        <w:tabs>
          <w:tab w:val="left" w:pos="926"/>
        </w:tabs>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方正仿宋简体" w:cs="方正仿宋简体"/>
          <w:sz w:val="32"/>
          <w:szCs w:val="32"/>
          <w:highlight w:val="none"/>
          <w:lang w:val="en-US" w:eastAsia="zh-CN"/>
        </w:rPr>
      </w:pPr>
    </w:p>
    <w:p w14:paraId="184889B9">
      <w:pPr>
        <w:jc w:val="cente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BZDMT">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0A60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7CB4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37CB4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1FE4D"/>
    <w:multiLevelType w:val="singleLevel"/>
    <w:tmpl w:val="2F51FE4D"/>
    <w:lvl w:ilvl="0" w:tentative="0">
      <w:start w:val="1"/>
      <w:numFmt w:val="chineseCounting"/>
      <w:suff w:val="nothing"/>
      <w:lvlText w:val="（%1）"/>
      <w:lvlJc w:val="left"/>
      <w:rPr>
        <w:rFonts w:hint="eastAsia"/>
      </w:rPr>
    </w:lvl>
  </w:abstractNum>
  <w:abstractNum w:abstractNumId="1">
    <w:nsid w:val="438FB364"/>
    <w:multiLevelType w:val="singleLevel"/>
    <w:tmpl w:val="438FB364"/>
    <w:lvl w:ilvl="0" w:tentative="0">
      <w:start w:val="1"/>
      <w:numFmt w:val="decimal"/>
      <w:suff w:val="space"/>
      <w:lvlText w:val="%1."/>
      <w:lvlJc w:val="left"/>
    </w:lvl>
  </w:abstractNum>
  <w:abstractNum w:abstractNumId="2">
    <w:nsid w:val="4B6C28EA"/>
    <w:multiLevelType w:val="singleLevel"/>
    <w:tmpl w:val="4B6C28EA"/>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05542"/>
    <w:rsid w:val="17103770"/>
    <w:rsid w:val="1B4F683C"/>
    <w:rsid w:val="219B6C00"/>
    <w:rsid w:val="34702AD1"/>
    <w:rsid w:val="3ED733FA"/>
    <w:rsid w:val="405A72C0"/>
    <w:rsid w:val="422429DB"/>
    <w:rsid w:val="430141DE"/>
    <w:rsid w:val="45795626"/>
    <w:rsid w:val="4BFC4F8E"/>
    <w:rsid w:val="5C343C9F"/>
    <w:rsid w:val="65BB167C"/>
    <w:rsid w:val="6B6B2C7F"/>
    <w:rsid w:val="6EBE0D6F"/>
    <w:rsid w:val="724C122A"/>
    <w:rsid w:val="76A05D71"/>
    <w:rsid w:val="7F543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1637</Words>
  <Characters>1743</Characters>
  <Lines>0</Lines>
  <Paragraphs>0</Paragraphs>
  <TotalTime>34</TotalTime>
  <ScaleCrop>false</ScaleCrop>
  <LinksUpToDate>false</LinksUpToDate>
  <CharactersWithSpaces>1810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2026-06-08T07:41:00Z</dcterms:created>
  <dc:creator>联想</dc:creator>
  <cp:lastModifiedBy>XSJ101</cp:lastModifiedBy>
  <dcterms:modified xsi:type="dcterms:W3CDTF">2026-06-12T09:30:00Z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KSOTemplateDocerSaveRecord">
    <vt:lpwstr>eyJoZGlkIjoiOGY5ODA1MGUyY2JjM2E3YmZkNjk5MjFhN2VhMjE3N2EiLCJ1c2VySWQiOiIyODQ2Mzk3MzMifQ==</vt:lpwstr>
  </property>
  <property fmtid="{D5CDD505-2E9C-101B-9397-08002B2CF9AE}" pid="4" name="ICV">
    <vt:lpwstr>C37F150DF2B842F196F30AB3DB0AF43A_13</vt:lpwstr>
  </property>
</Properties>
</file>